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D795" w14:textId="204B9CEF" w:rsidR="00B07BFB" w:rsidRPr="004B2159" w:rsidRDefault="00B07BFB" w:rsidP="00B07BFB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Pr="004B2159">
        <w:rPr>
          <w:b/>
          <w:bCs/>
        </w:rPr>
        <w:t>Zasady integracji systemów Przyjmującego zamówienie i Udzielającego zamówienie</w:t>
      </w:r>
    </w:p>
    <w:p w14:paraId="650D2AEB" w14:textId="77777777" w:rsidR="00B07BFB" w:rsidRPr="004B2159" w:rsidRDefault="00B07BFB" w:rsidP="00B07BFB">
      <w:pPr>
        <w:jc w:val="center"/>
      </w:pPr>
      <w:r w:rsidRPr="004B2159">
        <w:rPr>
          <w:b/>
          <w:bCs/>
        </w:rPr>
        <w:t xml:space="preserve">§ </w:t>
      </w:r>
      <w:r>
        <w:rPr>
          <w:b/>
          <w:bCs/>
        </w:rPr>
        <w:t xml:space="preserve">1. </w:t>
      </w:r>
      <w:r w:rsidRPr="004B2159">
        <w:rPr>
          <w:b/>
          <w:bCs/>
        </w:rPr>
        <w:t>Wymogi techniczne</w:t>
      </w:r>
    </w:p>
    <w:p w14:paraId="453477A0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Wymiana danych w standardzie HL7 CDA</w:t>
      </w:r>
      <w:r w:rsidRPr="004B2159">
        <w:br/>
        <w:t>a) Wyniki badań diagnostycznych muszą być przekazywane w formacie HL7 CDA, zapewniając interoperacyjność i zgodność z wymogami systemu EDM.</w:t>
      </w:r>
      <w:r w:rsidRPr="004B2159">
        <w:br/>
        <w:t>b) Każdy dokument HL7 CDA musi zawierać dane strukturalne zgodne z profilem dokumentów medycznych wymaganych przez Zamawiającego (np. wyniki badań laboratoryjnych).</w:t>
      </w:r>
    </w:p>
    <w:p w14:paraId="08DE1171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Przesyłanie plików PDF</w:t>
      </w:r>
      <w:r w:rsidRPr="004B2159">
        <w:br/>
        <w:t>a) Wyniki badań w formacie PDF muszą być generowane jako kopie pełne wyników badań diagnostycznych i załączane jako uzupełnienie dokumentacji HL7 CDA.</w:t>
      </w:r>
      <w:r w:rsidRPr="004B2159">
        <w:br/>
        <w:t>b) Pliki PDF muszą być podpisane cyfrowo, aby zapewnić ich autentyczność i nienaruszalność.</w:t>
      </w:r>
    </w:p>
    <w:p w14:paraId="4A4FC722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Integracja Banku Krwi</w:t>
      </w:r>
      <w:r w:rsidRPr="004B2159">
        <w:br/>
        <w:t>a) Bank Krwi musi być zintegrowany z HIS za pomocą interfejsu API umożliwiającego:</w:t>
      </w:r>
      <w:r w:rsidRPr="004B2159">
        <w:br/>
        <w:t>i. Przesyłanie informacji o stanie zapasów krwi i jej składników w czasie rzeczywistym.</w:t>
      </w:r>
      <w:r w:rsidRPr="004B2159">
        <w:br/>
        <w:t>ii. Przekazywanie wyników badań krwi, takich jak grupy krwi i zgodność próbek, w standardzie HL7 CDA.</w:t>
      </w:r>
      <w:r w:rsidRPr="004B2159">
        <w:br/>
        <w:t>b) System Banku Krwi musi umożliwiać automatyczne generowanie alertów dotyczących krytycznego poziomu zapasów lub potrzeby natychmiastowego uzupełnienia.</w:t>
      </w:r>
    </w:p>
    <w:p w14:paraId="71974E32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Bezpieczeństwo i autentyczność danych</w:t>
      </w:r>
      <w:r w:rsidRPr="004B2159">
        <w:br/>
        <w:t>a) Wszystkie przesyłane dane muszą być szyfrowane protokołem co najmniej w wersji TLS 1.3 lub nowszym w celu zapewnienia ich bezpieczeństwa.</w:t>
      </w:r>
      <w:r w:rsidRPr="004B2159">
        <w:br/>
        <w:t>b) Dostęp do danych musi być kontrolowany zgodnie z zasadami RODO, obejmującymi uwierzytelnianie wieloskładnikowe oraz monitorowanie logów dostępu.</w:t>
      </w:r>
    </w:p>
    <w:p w14:paraId="549FD51D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Testy integracyjne</w:t>
      </w:r>
      <w:r w:rsidRPr="004B2159">
        <w:br/>
        <w:t>a) Przed wdrożeniem wymagana jest faza testów integracyjnych, obejmująca przesyłanie dokumentacji w formacie HL7 CDA oraz plików PDF między systemami LIS i HIS.</w:t>
      </w:r>
      <w:r w:rsidRPr="004B2159">
        <w:br/>
        <w:t xml:space="preserve">b) Testy muszą potwierdzić zgodność danych, wydajność </w:t>
      </w:r>
      <w:proofErr w:type="spellStart"/>
      <w:r w:rsidRPr="004B2159">
        <w:t>przesyłu</w:t>
      </w:r>
      <w:proofErr w:type="spellEnd"/>
      <w:r w:rsidRPr="004B2159">
        <w:t xml:space="preserve"> oraz integralność dokumentacji.</w:t>
      </w:r>
    </w:p>
    <w:p w14:paraId="12BFAA9B" w14:textId="77777777" w:rsidR="00B07BFB" w:rsidRPr="004B2159" w:rsidRDefault="00B07BFB" w:rsidP="00B07BFB">
      <w:pPr>
        <w:numPr>
          <w:ilvl w:val="0"/>
          <w:numId w:val="1"/>
        </w:numPr>
      </w:pPr>
      <w:r w:rsidRPr="004B2159">
        <w:rPr>
          <w:b/>
          <w:bCs/>
        </w:rPr>
        <w:t>Raportowanie i monitoring</w:t>
      </w:r>
      <w:r w:rsidRPr="004B2159">
        <w:br/>
        <w:t xml:space="preserve">a) HIS i LIS muszą zapewniać moduł raportowania, umożliwiający monitorowanie </w:t>
      </w:r>
      <w:proofErr w:type="spellStart"/>
      <w:r w:rsidRPr="004B2159">
        <w:t>przesyłu</w:t>
      </w:r>
      <w:proofErr w:type="spellEnd"/>
      <w:r w:rsidRPr="004B2159">
        <w:t xml:space="preserve"> danych oraz ich zgodności z wymogami prawnymi.</w:t>
      </w:r>
      <w:r w:rsidRPr="004B2159">
        <w:br/>
        <w:t>b) Monitoring musi obejmować śledzenie błędów transmisji oraz automatyczne powiadamianie o problemach integracyjnych.</w:t>
      </w:r>
    </w:p>
    <w:p w14:paraId="5E00B374" w14:textId="77777777" w:rsidR="00B07BFB" w:rsidRPr="004B2159" w:rsidRDefault="00B07BFB" w:rsidP="00B07BFB"/>
    <w:p w14:paraId="5BF15D5A" w14:textId="77777777" w:rsidR="00B07BFB" w:rsidRPr="004B2159" w:rsidRDefault="00B07BFB" w:rsidP="00B07BFB">
      <w:pPr>
        <w:jc w:val="center"/>
      </w:pPr>
      <w:r w:rsidRPr="004B2159">
        <w:rPr>
          <w:b/>
          <w:bCs/>
        </w:rPr>
        <w:t>§ 2. Wymogi techniczne integracji z patomorfologią</w:t>
      </w:r>
    </w:p>
    <w:p w14:paraId="55973B55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Standard wymiany danych</w:t>
      </w:r>
      <w:r w:rsidRPr="004B2159">
        <w:br/>
        <w:t>a) Wyniki badań patomorfologicznych muszą być przesyłane w formacie HL7 CDA.</w:t>
      </w:r>
      <w:r w:rsidRPr="004B2159">
        <w:br/>
      </w:r>
      <w:r w:rsidRPr="004B2159">
        <w:lastRenderedPageBreak/>
        <w:t>b) Dodatkowo wyniki w formacie PDF (np. obrazy histopatologiczne, pełne raporty) powinny być załączane jako uzupełnienie dokumentacji HL7 CDA.</w:t>
      </w:r>
    </w:p>
    <w:p w14:paraId="25CC0C77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Zintegrowany obieg wyników</w:t>
      </w:r>
      <w:r w:rsidRPr="004B2159">
        <w:br/>
        <w:t>a) System LIS podwykonawcy musi umożliwiać automatyczne przesyłanie wyników badań patomorfologicznych do HIS Zamawiającego.</w:t>
      </w:r>
      <w:r w:rsidRPr="004B2159">
        <w:br/>
        <w:t>b) Dane muszą być automatycznie rejestrowane w module EDM HIS, co zapewni ich dostępność w systemach zarządzania opieką medyczną oraz integrację z platformą P1.</w:t>
      </w:r>
    </w:p>
    <w:p w14:paraId="2006E9E1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Obsługa obrazów mikroskopowych</w:t>
      </w:r>
      <w:r w:rsidRPr="004B2159">
        <w:br/>
        <w:t>a) LIS powinien wspierać przechowywanie i przeglądanie obrazów histopatologicznych w wysokiej rozdzielczości.</w:t>
      </w:r>
      <w:r w:rsidRPr="004B2159">
        <w:br/>
        <w:t>b) Obrazy muszą być skojarzone z wynikami badań i dostępne zarówno dla lekarzy zlecających, jak i zespołów interdyscyplinarnych.</w:t>
      </w:r>
    </w:p>
    <w:p w14:paraId="44471C81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Raportowanie i analiza</w:t>
      </w:r>
      <w:r w:rsidRPr="004B2159">
        <w:br/>
        <w:t>a) LIS i HIS muszą umożliwiać generowanie raportów z badań patomorfologicznych, uwzględniając klasyfikację ICD-10 oraz zaawansowane analizy statystyczne.</w:t>
      </w:r>
      <w:r w:rsidRPr="004B2159">
        <w:br/>
        <w:t>b) Systemy muszą zapewniać możliwość monitorowania wskaźników diagnostycznych oraz zgodności wyników z wytycznymi klinicznymi.</w:t>
      </w:r>
    </w:p>
    <w:p w14:paraId="771D4A71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Bezpieczeństwo danych</w:t>
      </w:r>
      <w:r w:rsidRPr="004B2159">
        <w:br/>
        <w:t>a) Wszystkie przesyłane dane powinny być szyfrowane protokołem, co najmniej w wersji TLS 1.3 lub nowszym w celu zapewnienia ich bezpieczeństwa</w:t>
      </w:r>
      <w:r w:rsidRPr="004B2159">
        <w:br/>
        <w:t>b) Dostęp do wyników badań patomorfologicznych powinien być monitorowany i ograniczony do osób posiadających odpowiednie uprawnienia.</w:t>
      </w:r>
    </w:p>
    <w:p w14:paraId="39BDB920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Integracja z Bankiem Krwi i EDM</w:t>
      </w:r>
      <w:r w:rsidRPr="004B2159">
        <w:br/>
        <w:t>a) Wyniki badań patomorfologicznych związanych z kompatybilnością przeszczepów (np. HLA) muszą być zintegrowane z Bankiem Krwi, umożliwiając dostęp do kluczowych informacji w procesie przeszczepowym.</w:t>
      </w:r>
      <w:r w:rsidRPr="004B2159">
        <w:br/>
        <w:t>b) Wszystkie wyniki badań powinny być przesyłane do centralnego repozytorium EDM zgodnie z wymogami określonymi w przepisach prawa.</w:t>
      </w:r>
    </w:p>
    <w:p w14:paraId="3E73E601" w14:textId="77777777" w:rsidR="00B07BFB" w:rsidRPr="004B2159" w:rsidRDefault="00B07BFB" w:rsidP="00B07BFB">
      <w:pPr>
        <w:numPr>
          <w:ilvl w:val="0"/>
          <w:numId w:val="2"/>
        </w:numPr>
      </w:pPr>
      <w:r w:rsidRPr="004B2159">
        <w:rPr>
          <w:b/>
          <w:bCs/>
        </w:rPr>
        <w:t>Testy integracyjne</w:t>
      </w:r>
      <w:r w:rsidRPr="004B2159">
        <w:br/>
        <w:t xml:space="preserve">a) Przed wdrożeniem należy przeprowadzić testy sprawdzające poprawność </w:t>
      </w:r>
      <w:proofErr w:type="spellStart"/>
      <w:r w:rsidRPr="004B2159">
        <w:t>przesyłu</w:t>
      </w:r>
      <w:proofErr w:type="spellEnd"/>
      <w:r w:rsidRPr="004B2159">
        <w:t xml:space="preserve"> danych HL7 CDA i PDF między LIS, HIS, i systemami nadrzędnymi (np. platformą P1).</w:t>
      </w:r>
      <w:r w:rsidRPr="004B2159">
        <w:br/>
        <w:t>b) Testy powinny uwzględniać scenariusze błędów, w tym przesyłanie danych niekompletnych lub niezgodnych z formatem.</w:t>
      </w:r>
    </w:p>
    <w:p w14:paraId="0EBE0D1A" w14:textId="77777777" w:rsidR="00287493" w:rsidRDefault="00287493"/>
    <w:sectPr w:rsidR="00287493" w:rsidSect="00B07BF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372B" w14:textId="77777777" w:rsidR="00B07BFB" w:rsidRDefault="00B07BFB" w:rsidP="00B07BFB">
      <w:pPr>
        <w:spacing w:after="0" w:line="240" w:lineRule="auto"/>
      </w:pPr>
      <w:r>
        <w:separator/>
      </w:r>
    </w:p>
  </w:endnote>
  <w:endnote w:type="continuationSeparator" w:id="0">
    <w:p w14:paraId="191105A0" w14:textId="77777777" w:rsidR="00B07BFB" w:rsidRDefault="00B07BFB" w:rsidP="00B0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FF55" w14:textId="77777777" w:rsidR="00B07BFB" w:rsidRDefault="00B07BFB" w:rsidP="00B07BFB">
      <w:pPr>
        <w:spacing w:after="0" w:line="240" w:lineRule="auto"/>
      </w:pPr>
      <w:r>
        <w:separator/>
      </w:r>
    </w:p>
  </w:footnote>
  <w:footnote w:type="continuationSeparator" w:id="0">
    <w:p w14:paraId="75521BF1" w14:textId="77777777" w:rsidR="00B07BFB" w:rsidRDefault="00B07BFB" w:rsidP="00B0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B3B0" w14:textId="77777777" w:rsidR="00B07BFB" w:rsidRPr="00133909" w:rsidRDefault="00B07BFB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46B032B1" w14:textId="77777777" w:rsidR="00B07BFB" w:rsidRDefault="00B07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0F8958B8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31CD90AD" w14:textId="77777777" w:rsidR="00B07BFB" w:rsidRPr="00402586" w:rsidRDefault="00B07BFB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36341171" w14:textId="77777777" w:rsidR="00B07BFB" w:rsidRPr="00402586" w:rsidRDefault="00B07BFB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</w:t>
          </w:r>
        </w:p>
        <w:p w14:paraId="068DF8AA" w14:textId="77777777" w:rsidR="00B07BFB" w:rsidRPr="00555C74" w:rsidRDefault="00B07BFB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231D3ED9" w14:textId="6C23A312" w:rsidR="00B07BFB" w:rsidRPr="00555C74" w:rsidRDefault="00B07BFB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 xml:space="preserve">ZAŁACZNIK NR </w:t>
    </w:r>
    <w:r>
      <w:rPr>
        <w:rFonts w:ascii="Arial" w:hAnsi="Arial" w:cs="Arial"/>
        <w:b/>
        <w:bCs/>
        <w:i/>
        <w:iCs/>
      </w:rPr>
      <w:t>8</w:t>
    </w:r>
    <w:r w:rsidRPr="00555C74">
      <w:rPr>
        <w:rFonts w:ascii="Arial" w:hAnsi="Arial" w:cs="Arial"/>
        <w:b/>
        <w:bCs/>
        <w:i/>
        <w:iCs/>
      </w:rPr>
      <w:t xml:space="preserve"> DO SWKO</w:t>
    </w:r>
  </w:p>
  <w:p w14:paraId="3400C08F" w14:textId="77777777" w:rsidR="00B07BFB" w:rsidRPr="00653C95" w:rsidRDefault="00B07BFB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022E6"/>
    <w:multiLevelType w:val="multilevel"/>
    <w:tmpl w:val="F56A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A20E9"/>
    <w:multiLevelType w:val="multilevel"/>
    <w:tmpl w:val="6D84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98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184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FB"/>
    <w:rsid w:val="00287493"/>
    <w:rsid w:val="00B07BFB"/>
    <w:rsid w:val="00C329A5"/>
    <w:rsid w:val="00E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F8B"/>
  <w15:chartTrackingRefBased/>
  <w15:docId w15:val="{6D27A984-9E5C-4B6B-B3A8-6D2B316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BFB"/>
  </w:style>
  <w:style w:type="table" w:styleId="Tabela-Siatka">
    <w:name w:val="Table Grid"/>
    <w:basedOn w:val="Standardowy"/>
    <w:uiPriority w:val="39"/>
    <w:rsid w:val="00B0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B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Józefowicz</dc:creator>
  <cp:keywords/>
  <dc:description/>
  <cp:lastModifiedBy>Marta Józefowicz</cp:lastModifiedBy>
  <cp:revision>1</cp:revision>
  <cp:lastPrinted>2024-12-19T11:58:00Z</cp:lastPrinted>
  <dcterms:created xsi:type="dcterms:W3CDTF">2024-12-19T11:57:00Z</dcterms:created>
  <dcterms:modified xsi:type="dcterms:W3CDTF">2024-12-19T12:00:00Z</dcterms:modified>
</cp:coreProperties>
</file>