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103" w14:textId="1B6251DC" w:rsidR="00914193" w:rsidRPr="001A6151" w:rsidRDefault="00914193" w:rsidP="00914193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</w:t>
      </w:r>
      <w:r w:rsidR="00A732CB">
        <w:rPr>
          <w:rFonts w:ascii="Tahoma" w:hAnsi="Tahoma" w:cs="Tahoma"/>
          <w:iCs/>
          <w:color w:val="000000"/>
          <w:sz w:val="20"/>
          <w:szCs w:val="16"/>
          <w:highlight w:val="lightGray"/>
        </w:rPr>
        <w:t>3</w:t>
      </w: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 DO ZAP</w:t>
      </w:r>
      <w:r w:rsidR="00764031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YTANI</w:t>
      </w:r>
      <w:r w:rsidR="00373188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0EEC0C83" w14:textId="057715D4" w:rsidR="007110BC" w:rsidRPr="001A6151" w:rsidRDefault="007110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156090" w14:textId="133842D2" w:rsidR="00914193" w:rsidRPr="001A6151" w:rsidRDefault="00CD24A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OPIS PRZEDMIOTU ZAMÓWIENIA – </w:t>
      </w:r>
      <w:r w:rsidR="003745D0"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OFEROWANE PARAMETRY TECHNICZNE</w:t>
      </w:r>
    </w:p>
    <w:p w14:paraId="7DDD414A" w14:textId="52D702BE" w:rsidR="00244865" w:rsidRPr="001A6151" w:rsidRDefault="00494DCD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Rezonans magnetyczny</w:t>
      </w:r>
      <w:r w:rsidR="00173546"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 z wyposażeniem</w:t>
      </w:r>
    </w:p>
    <w:p w14:paraId="184EE2D1" w14:textId="77777777" w:rsidR="00914193" w:rsidRPr="001A6151" w:rsidRDefault="009141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3493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5669"/>
        <w:gridCol w:w="1644"/>
        <w:gridCol w:w="3118"/>
        <w:gridCol w:w="2438"/>
      </w:tblGrid>
      <w:tr w:rsidR="006E3E87" w:rsidRPr="00A755F5" w14:paraId="3A75605C" w14:textId="55AA56E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A8B963" w14:textId="66548523" w:rsidR="00CD24A0" w:rsidRPr="00A755F5" w:rsidRDefault="00CD24A0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DCBC7E" w14:textId="5AEC5EAC" w:rsidR="00CD24A0" w:rsidRPr="00A755F5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sz w:val="20"/>
                <w:szCs w:val="20"/>
              </w:rPr>
              <w:t>Nazwa / Opis parametru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6380A16" w14:textId="47D399CE" w:rsidR="00CD24A0" w:rsidRPr="00BC61B7" w:rsidRDefault="00BC61B7" w:rsidP="00BC61B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sz w:val="20"/>
                <w:szCs w:val="20"/>
              </w:rPr>
              <w:t>Parametr wymagany (graniczny) i/lub oceniany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2FD9E13" w14:textId="77777777" w:rsidR="00BC61B7" w:rsidRPr="00BC61B7" w:rsidRDefault="00BC61B7" w:rsidP="00BC61B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Parametr oferowany </w:t>
            </w:r>
          </w:p>
          <w:p w14:paraId="1EE7BF71" w14:textId="27F5F039" w:rsidR="00CD24A0" w:rsidRPr="00A755F5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(w miejscach oznaczonych (*) podać numer strony FMI, na której znajduje się potwierdzenie zaoferowanej wartość)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2D5822A" w14:textId="67179A51" w:rsidR="00CD24A0" w:rsidRPr="00A755F5" w:rsidRDefault="00CD24A0" w:rsidP="00BC61B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Punktacja</w:t>
            </w:r>
          </w:p>
        </w:tc>
      </w:tr>
      <w:tr w:rsidR="006E3E87" w:rsidRPr="00A755F5" w14:paraId="439FE703" w14:textId="53EF445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8978" w14:textId="62795DF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98AED" w14:textId="37B1CFD5" w:rsidR="00CD24A0" w:rsidRPr="00A755F5" w:rsidRDefault="00CD24A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360C5" w14:textId="478524E1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421A8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1DE1EE" w14:textId="640F9AC1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36A2DE40" w14:textId="1E71188B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E3800" w14:textId="6516B8ED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75700" w14:textId="7FE04177" w:rsidR="00CD24A0" w:rsidRPr="00A755F5" w:rsidRDefault="00CD24A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Typ/model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196A3" w14:textId="06F95DF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C9374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C73EFF" w14:textId="45B0CB22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1052733B" w14:textId="3DC8A6D0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516F1" w14:textId="33C1410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DDF4A" w14:textId="69C4221F" w:rsidR="00CD24A0" w:rsidRPr="00A755F5" w:rsidRDefault="00CD24A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BD526" w14:textId="3FFF84E0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06A6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B43BDF" w14:textId="2A6DBC35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6CC1068D" w14:textId="7E69D0B2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55454" w14:textId="6C9C84C5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0CFB7" w14:textId="3EBE54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D77F8" w14:textId="73B7ACD5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52CA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783214" w14:textId="4EDA0376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07BDB888" w14:textId="6A25F50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53400" w14:textId="4B9E73ED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C9AD" w14:textId="7013DE60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Rok produkcji: (nie wcześniej niż 2021, </w:t>
            </w:r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system fabrycznie nowy, </w:t>
            </w:r>
            <w:proofErr w:type="spellStart"/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>nierekondycjonowany</w:t>
            </w:r>
            <w:proofErr w:type="spellEnd"/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>niepowystawowy</w:t>
            </w:r>
            <w:proofErr w:type="spellEnd"/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DE59" w14:textId="1EC4F1E4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F7B069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D358CCB" w14:textId="1CC3A747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FC4E2D" w14:paraId="65C0616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3585A9" w14:textId="5CB787DA" w:rsidR="00BC61B7" w:rsidRPr="00FC4E2D" w:rsidRDefault="00FC4E2D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55802E" w14:textId="5267C47F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MAGNES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323521B" w14:textId="77777777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D11B723" w14:textId="77777777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ABB80B" w14:textId="77777777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BC61B7" w14:paraId="53052BFD" w14:textId="2F5E8B5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CE445" w14:textId="18D2166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DDAA5" w14:textId="71EA12C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Natężenie pola ≥ 1,5 T.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BEB42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AA9D2E5" w14:textId="1500E989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C64B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158697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114E4E67" w14:textId="29D93FD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788F" w14:textId="087D3E5F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EABCA" w14:textId="5A8B96F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System chłodzenia zamknięty, chłodzenie helem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133CE" w14:textId="382A60A3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D545B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733E61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1D06355A" w14:textId="762CBAD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83D6" w14:textId="47CE8952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867FB" w14:textId="4CCA12D3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Korekta homogeniczności pola (po wprowadzeniu do magnesu pacjenta i cewek odbiorczych) sprzętowa lub software`owa, konieczna do przeprowadzenia każdego typu badań (w tym w szczególności badań spektroskopowych).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FB665F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829EDB7" w14:textId="2558E2A4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13DAE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08E5BC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4377DBD8" w14:textId="49621B1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97D2A" w14:textId="5976DB3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361F7" w14:textId="3F273FDE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Magnes systemu zbudowany w technologii ”zero-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boil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>-off”(zerowego zużycia helu)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212ED" w14:textId="22B05834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CF1E6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B6FBC1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0C4345A2" w14:textId="2DE4FB3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9CE20" w14:textId="77D305DA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5879B" w14:textId="62348D71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Wymiar pola 5G (oś X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x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 xml:space="preserve"> Y x Z) ≤ 2,5 x 2,5 x 4,0 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F6E867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55000F4" w14:textId="209D4F46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5A99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877B7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4EDB36A4" w14:textId="5C1520E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FD05" w14:textId="5C2A6A2A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15FE4" w14:textId="7F42490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Homogeniczność pola (wartość gwarantowana w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 xml:space="preserve"> mierzona metodą VRMS) [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>] zgodnie z informacjami podanymi w specyfikacjach technicznych producenta, w kuli o średnicach podanych w podpunktach do tego punktu.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9313E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F0874B6" w14:textId="3C27BB4C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23D8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9BDF0A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5CB34A6B" w14:textId="43C8410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C05F2" w14:textId="0BDE7E16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02FD" w14:textId="2D0BE118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10 cm ≤ 0,02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9B534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E3850DE" w14:textId="2331FED3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32DE4" w14:textId="5EEC26FF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744EF6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5206F2E9" w14:textId="2D0618E6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AD2CB" w14:textId="488B6AEB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5B37A" w14:textId="24A0F16F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20 cm ≤ 0,07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96210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1B32139" w14:textId="1284875B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2946" w14:textId="36FFF30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F5E7D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0A40478C" w14:textId="3DCB734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B35A" w14:textId="1983D0DE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A7450" w14:textId="141A2749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30 cm ≤ 0,17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3B9E4A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3FCFB33" w14:textId="17D0683D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DC112" w14:textId="27A7A348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132F28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7228BA50" w14:textId="1804F7B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58CF7" w14:textId="55F96CED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DC807" w14:textId="652FC93C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40 cm ≤ 0,55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D1321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CEFAEC1" w14:textId="5D0A0E22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FDF7A" w14:textId="6526BA0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A0B7D9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01D8751D" w14:textId="0016802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8627C" w14:textId="07E2C2BC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255B" w14:textId="19BA7A8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Średnica otworu dla pacjenta (magnes z systemem „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shim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>”, cewkami gradientowymi i cewką całego ciała) ≥ 60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10CFD" w14:textId="21FB4F6E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4C8E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3EBF8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2F3A35" w14:paraId="421B999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0CE8B80" w14:textId="37E13B55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ECA9521" w14:textId="5B2C915A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SYSTEM GRADIENTOWY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CC7CE7B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492710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96C7D9C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2F3A35" w14:paraId="60996272" w14:textId="54460E02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19D7E" w14:textId="21555FF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3E151" w14:textId="57D1210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Cewki gradientowe chłodzone wodą.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922F" w14:textId="0CEDFD7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FB990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944F4D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2F3A35" w14:paraId="41BA299F" w14:textId="3AB2F80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CC4375" w14:textId="635067D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4D6B6" w14:textId="2122715D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 xml:space="preserve">Użyteczna maksymalna amplituda dla jednej osi  w maksymalnym polu widzenia FOV w każdej osi równocześnie ≥ 33 </w:t>
            </w:r>
            <w:proofErr w:type="spellStart"/>
            <w:r w:rsidRPr="002F3A35">
              <w:rPr>
                <w:rFonts w:ascii="Tahoma" w:hAnsi="Tahoma" w:cs="Tahoma"/>
                <w:sz w:val="20"/>
                <w:szCs w:val="20"/>
              </w:rPr>
              <w:t>mT</w:t>
            </w:r>
            <w:proofErr w:type="spellEnd"/>
            <w:r w:rsidRPr="002F3A35">
              <w:rPr>
                <w:rFonts w:ascii="Tahoma" w:hAnsi="Tahoma" w:cs="Tahoma"/>
                <w:sz w:val="20"/>
                <w:szCs w:val="20"/>
              </w:rPr>
              <w:t>/m.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89B82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CEE03F1" w14:textId="2EAD9C79" w:rsidR="002F3A35" w:rsidRPr="00967E59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A3043" w14:textId="2B8FC7E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E19062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2F3A35" w14:paraId="4ECFA749" w14:textId="2E6D0520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5DAEB" w14:textId="02EAAD4D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C1E1E" w14:textId="7ADB1A4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Maksymalna szybkość narastania gradientów (</w:t>
            </w:r>
            <w:proofErr w:type="spellStart"/>
            <w:r w:rsidRPr="002F3A35">
              <w:rPr>
                <w:rFonts w:ascii="Tahoma" w:hAnsi="Tahoma" w:cs="Tahoma"/>
                <w:sz w:val="20"/>
                <w:szCs w:val="20"/>
              </w:rPr>
              <w:t>Slew</w:t>
            </w:r>
            <w:proofErr w:type="spellEnd"/>
            <w:r w:rsidRPr="002F3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F3A35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2F3A35">
              <w:rPr>
                <w:rFonts w:ascii="Tahoma" w:hAnsi="Tahoma" w:cs="Tahoma"/>
                <w:sz w:val="20"/>
                <w:szCs w:val="20"/>
              </w:rPr>
              <w:t>) w jednej osi możliwa do zastosowania dla maksymalnej wartości amplitudy ≥ 120T/m/s.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E67BB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35C604E" w14:textId="04408156" w:rsidR="002F3A35" w:rsidRPr="00967E59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E77065" w14:textId="49CCE259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6A6A7A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06922C3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F147698" w14:textId="76BE3A9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87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168773" w14:textId="7CA75FD5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87">
              <w:rPr>
                <w:rFonts w:ascii="Tahoma" w:hAnsi="Tahoma" w:cs="Tahoma"/>
                <w:b/>
                <w:bCs/>
                <w:sz w:val="20"/>
                <w:szCs w:val="20"/>
              </w:rPr>
              <w:t>CEWKI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E5725A2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4BB667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A185AE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6E3E87" w14:paraId="784B6264" w14:textId="3883999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CAF35C" w14:textId="2B092A8C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E6C206" w14:textId="3C145A8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Zintegrowana cewka do badania całego ciała nadawczo-odbiorcza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whole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body).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E4376" w14:textId="73E0BE88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5EEA31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A83CCE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128E3757" w14:textId="05E3343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E4122" w14:textId="5F2BF63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5920A" w14:textId="0FFA660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Wielokanałowa cewka typu „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” lub zestaw cewek do badania głowy i szyi (do badań angiograficznych), posiadająca min. 16 elementów obrazujących jednocześnie, pozwalająca na akwizycje równoległe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ARC, GEM, SENSE, ASSET, SPEEDER lub zgodnie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E0B85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0F0578E" w14:textId="4051790F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BDF31" w14:textId="0D91226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571105" w14:textId="57793D71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2CED8BA7" w14:textId="3F34F45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8DCEA7" w14:textId="5EC1BBD8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DABCB" w14:textId="13E1612C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Wielokanałowa cewka typu „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” lub zestaw cewek do badań tułowia (klatka piersiowa lub jama brzuszna lub miednica), posiadająca min. 12 elementów obrazujących jednocześnie, pozwalająca na akwizycje równoległe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, ARC, GEM, SENSE, ASSET, SPEEDER lub zgodnie z nomenklaturą producenta). Cewka, lub zestaw cewek inne niż uniwersalne cewki typu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loop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47464" w14:textId="48599EB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Tak, podać </w:t>
            </w:r>
            <w:r w:rsidRPr="00967E59">
              <w:rPr>
                <w:rFonts w:ascii="Tahoma" w:hAnsi="Tahoma" w:cs="Tahoma"/>
                <w:sz w:val="20"/>
                <w:szCs w:val="20"/>
              </w:rPr>
              <w:t>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24E1" w14:textId="312AA221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8F5DE3" w14:textId="7246CC8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5BCC5893" w14:textId="3011BFF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31176" w14:textId="2728638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1A12D" w14:textId="4B9AA90D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Wielokanałowa cewka lub zestaw cewek do badania całego kręgosłupa: typu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spolaryzowana kołowo lub kwadraturowa, co najmniej 12-elementowa.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E9E76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7B115DD" w14:textId="6963BB8A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082F2" w14:textId="41AE0DA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FDE276" w14:textId="21204D6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398DAFDB" w14:textId="2DE59525" w:rsidTr="00A8514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7D251" w14:textId="41DCA32B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DC58F3" w14:textId="79BE32A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Wielokanałowa cewka typu „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” lub zestaw cewek do badań całego centralnego układu nerwowego (głowa i cały kręgosłup) z automatycznym przesuwem stołu pacjenta, sterowanym z protokołu badania, bez przekładania cewek lub repozycjonowania pacjenta, posiadająca min. 24 elementy obrazujących, pozwalająca na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CCFA72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04D2EDA" w14:textId="230C3153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B5376" w14:textId="2094674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9782D5" w14:textId="6136F2B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2BB08BD0" w14:textId="5E830FC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CBEF4" w14:textId="03ED108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9C096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Minimum jedna sztywna cewka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cewka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sztywna (dopasowana anatomicznie) dedykowana do badania stawu barkowego posiadająca min. 8 elementów obrazujących jednocześnie lub cewka elastyczna o wymiarach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pozwalajacy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na badanie stawu barkowego, posiadająca min. 16 elementów obrazujących jednocześnie.</w:t>
            </w:r>
          </w:p>
          <w:p w14:paraId="2B369C04" w14:textId="20D0B2FB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3BE8D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90C0537" w14:textId="3FEBC14F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0FEED" w14:textId="6086882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011C6F" w14:textId="140A2815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475A80B9" w14:textId="76ACB1A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8CDCF3" w14:textId="64CCB56F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54972" w14:textId="2421658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Wielokanałowa dedykowana cewka sztywna (dopasowana anatomicznie), do badań stawu kolanowego, posiadająca min. 8 elementów obrazujących jednocześnie, pozwalająca na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196090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DDF54DC" w14:textId="37D366BE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i ilość elementów obrazujących jednocześnie oraz typ cewki (odbiorcza, nadawczo-odbiorcza)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7497A" w14:textId="1EB1FFD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122948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Cewka nadawczo-odbiorcza – 5 pkt</w:t>
            </w:r>
          </w:p>
          <w:p w14:paraId="5A293481" w14:textId="77C6AF21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Cewka odbiorcza – 0 pkt</w:t>
            </w:r>
          </w:p>
        </w:tc>
      </w:tr>
      <w:tr w:rsidR="006E3E87" w:rsidRPr="006E3E87" w14:paraId="52C9FDE7" w14:textId="3D43C0BE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AEBCA" w14:textId="27EAF62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46DAA" w14:textId="2DB0952D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Cewka elastyczna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płachtowa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) ze specjalnym pozycjonerem do unieruchomienia badanego stawu o minimum 16 elementach obrazujących jednocześnie lub sztywna (dopasowana anatomicznie) do badania stawu skokowego typu „but” lub „komin”, o minimum 8 elementach obrazujących jednocześnie.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1F0A7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C3FDEF6" w14:textId="234E871C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5952CA" w14:textId="4117E73E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45FD35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67E8E4F8" w14:textId="770FBF5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1AC6A" w14:textId="0FB07629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503546" w14:textId="4D0EFE5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Cewka wielokanałowa sztywna lub elastyczna przeznaczona do badań nadgarstka, posiadająca w badanym obszarze min. 8 elementów obrazujących jednocześnie i pozwalająca na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1C9039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E18A54E" w14:textId="6C2A9ED7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8A8A50" w14:textId="73F260B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2BFB11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537E8A7D" w14:textId="5C4B9743" w:rsidTr="00A8514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1ED1EC" w14:textId="62320F3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82A7F" w14:textId="34751264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Zestaw min. 3 wielokanałowych elastycznych cewek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płachtowych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, każda o różnym rozmiarze do zastosowań uniwersalnych, w tym do badań stawów - kolanowego, łokciowego, skokowego, barkowego, biodrowego, nadgarstka – każda o min. 8 elementach pomiarowych obrazujących jednocześnie, każda umożliwiająca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 Cewki inne (nie te same i nie takie same) niż oferowane w pozostałych punktach.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F73CC5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AE3CBDE" w14:textId="2010D04D" w:rsidR="00967E59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cewek i ilość elementów obrazujących jednocześnie dla każdej cewki</w:t>
            </w:r>
          </w:p>
          <w:p w14:paraId="403302DC" w14:textId="7DA8AC38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178A9" w14:textId="1F21063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C398E7C" w14:textId="75351E43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Każda z zaoferowanych cewek min. </w:t>
            </w:r>
            <w:r w:rsidR="00A8514A">
              <w:rPr>
                <w:rFonts w:ascii="Tahoma" w:hAnsi="Tahoma" w:cs="Tahoma"/>
                <w:sz w:val="20"/>
                <w:szCs w:val="20"/>
              </w:rPr>
              <w:t>16</w:t>
            </w:r>
            <w:r w:rsidR="00834D10">
              <w:rPr>
                <w:rFonts w:ascii="Tahoma" w:hAnsi="Tahoma" w:cs="Tahoma"/>
                <w:sz w:val="20"/>
                <w:szCs w:val="20"/>
              </w:rPr>
              <w:t> </w:t>
            </w:r>
            <w:r w:rsidRPr="006E3E87">
              <w:rPr>
                <w:rFonts w:ascii="Tahoma" w:hAnsi="Tahoma" w:cs="Tahoma"/>
                <w:sz w:val="20"/>
                <w:szCs w:val="20"/>
              </w:rPr>
              <w:t>elementowa – 10 pkt.</w:t>
            </w:r>
          </w:p>
          <w:p w14:paraId="5AF6C83E" w14:textId="671BEA8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Inne – 0 pkt.</w:t>
            </w:r>
          </w:p>
        </w:tc>
      </w:tr>
      <w:tr w:rsidR="006E3E87" w:rsidRPr="006E3E87" w14:paraId="623E20B0" w14:textId="486CE9B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1A304A" w14:textId="5238F09E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B527C" w14:textId="50F81F28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Stabilizator dla cewek elastycznych min. 8 elementowych, pozwalający unieruchomić badany staw (np. staw skokowy, staw kolanowy, staw łokciowy, nadgarstek)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84373" w14:textId="0EE310E2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07BE6" w14:textId="200FF92D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0077A9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14:paraId="154FAAC4" w14:textId="6DFB609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1C16DA" w:rsidRPr="001C16DA" w14:paraId="02BDCE1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A3BDD0B" w14:textId="46978D63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59BDB0B" w14:textId="679295A3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SYSTEM RF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2F0BFE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2EBBE5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8F1790E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6DA" w:rsidRPr="001C16DA" w14:paraId="6AF6F0DE" w14:textId="2C56D00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9AF2D1" w14:textId="0A74BA68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2013C" w14:textId="7D837546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 xml:space="preserve">Maksymalna liczba rzeczywistych niezależnych równoległych cyfrowych kanałów odbiorczych (odbiornika) z pełną ścieżką cyfrową (przedwzmacniacz, przetwornik analogowo-cyfrowy, wejście w rekonstruktorze) systemu MR, które mogą być używane jednocześnie w pojedynczym skanie i pojedynczym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, z których każdy generuje niezależny obraz cząstkowy ≥ 16 lub system z cyfrową optyczną transmisją od cewek (technologia cewek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dStream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 lub równoważne).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788C7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BD6354F" w14:textId="41314381" w:rsidR="001C16DA" w:rsidRPr="00967E59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C801B9" w14:textId="52608F5B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77B0E7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08CBF26C" w14:textId="6495C9D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B6541" w14:textId="4FCF48C9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18472E" w14:textId="5D6877E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Szerokość pasma przenoszenia (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receive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bandwidth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>) ≥ 1 000 kHz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7660C7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86F7E03" w14:textId="630C506D" w:rsidR="001C16DA" w:rsidRPr="00967E59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wartość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420BD0" w14:textId="597978C2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6E6DE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0C25F83E" w14:textId="647AA3A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B42377" w14:textId="46F40D6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188E9" w14:textId="241AA0C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Rozdzielczość odbiornika ≥ 16 bit.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FA886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FAE3614" w14:textId="11036306" w:rsidR="001C16DA" w:rsidRPr="00967E59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D5229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E57072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464B27B4" w14:textId="3017AE6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1E140D" w14:textId="3AF20C1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3F090" w14:textId="404A6BEC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Cyfrowa filtracja RF.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0CD35" w14:textId="021B263D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D3EB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89F82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21714653" w14:textId="230221D3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64EE1E" w14:textId="5940EA48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0FB484" w14:textId="66969C0B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Kontrola częstotliwości.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8CE799" w14:textId="3AED4072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DA28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D868D5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25E9407F" w14:textId="36AB04CB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1C399A" w14:textId="6C63384E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AAE3F" w14:textId="3ACE15D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Kontrola fazy.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B96E7" w14:textId="0F292E21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90B0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E3BF3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1986AB49" w14:textId="112B177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580ACD" w14:textId="357409D0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A33224" w14:textId="39DB6AF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Kontrola amplitudy.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C7567C" w14:textId="31A3BB22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DB0DC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30077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16D913C6" w14:textId="769A8AB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39CF6D" w14:textId="3FA9459B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D7552C" w14:textId="714ED7AC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 xml:space="preserve">Cyfrowa transmisja odebranego sygnału MR pomiędzy pomieszczeniem badań a maszynownią (rekonstruktorem) zapewniający zmniejszenie zaszumienia sygnału i wzrost stosunku SNR wynikowego obrazu oraz umożliwiający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przesył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 znacznej ilości danych (np. potrzebnych do zaawansowanych aplikacji 3D)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OpTix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dStream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>, Direct RF (lub równoważne, zgodnie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FB754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4EB6B40" w14:textId="38C2D894" w:rsidR="001C16DA" w:rsidRPr="006D10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7E503D" w14:textId="4CA5014F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C944D6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3E9EC218" w14:textId="2B082DBA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C4050" w14:textId="5BE02B5E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5BF209" w14:textId="712FFFC0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 xml:space="preserve">Tor transmisji odebranego sygnału MR pomiędzy pomieszczeniem badań a maszynownią (rekonstruktorem) zbudowany w technologii optycznej (niegalwanicznej) zapewniający zmniejszenie zaszumienia sygnału i wzrost stosunku SNR wynikowego obrazu.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OpTix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dStream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>, Direct RF (lub równoważne, zgodnie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2AC05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1612D38" w14:textId="396595A5" w:rsidR="001C16DA" w:rsidRPr="006D10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09130" w14:textId="37E7F47E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CEFF1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31AA0F6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6A857A6" w14:textId="3F61C895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3769BF" w14:textId="2CE9DA3D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POZYCJONOWANIE I NADZÓR PACJENTA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E0BA8C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B6177DB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3FF515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0DA" w:rsidRPr="006D10DA" w14:paraId="618AF2C2" w14:textId="671C792E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3CE2D" w14:textId="41EC89BE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9742F" w14:textId="22661268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Obciążenie płyty stołu łącznie z ruchem pionowym ≥ 200 kg.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6A90F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3EAEEC4" w14:textId="2C67A8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D697D1" w14:textId="72DADA0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61CE86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6D5E78B1" w14:textId="253CCB5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57FD6" w14:textId="58DD9C8E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B618FE" w14:textId="50EC6B82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Zakres badania bez konieczności repozycjonowania pacjenta ≥ 150 cm.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EAB064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9E9C9D4" w14:textId="06DC490A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F07FAA" w14:textId="2B7008D5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518839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05781BA8" w14:textId="5AE3AE5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98FE1" w14:textId="5196D21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152C1" w14:textId="040FA521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Odległość blatu stołu od podłogi, w najniższym jego położeniu ≤ 60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13A8E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9406971" w14:textId="6CF86F42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19D7CA" w14:textId="681939A6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A47CA6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2C73FA16" w14:textId="204ED0D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49479" w14:textId="00E83F1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20A20C" w14:textId="2AC587CC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Odległość między blatem stołu pacjenta a zenitem otworu magnesu, podczas badania ≥ 45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BB8DB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6F59A1F" w14:textId="59B3589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68974" w14:textId="0C0037F5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AF58C6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4BD96485" w14:textId="03ED570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DBDE2A" w14:textId="30967C8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6E29F" w14:textId="7F6F622E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Dwukierunkowy interkom do komunikacji z pacjentem.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0E739" w14:textId="6F16770B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33A1E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30A31A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04C51810" w14:textId="3BEDE41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E7702" w14:textId="11209C1D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877F8" w14:textId="4BE1D66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Sygnalizacja dodatkowa (np. gruszka, przycisk).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7FAD42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CFF42AD" w14:textId="06E24BB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ADE208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539F9E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7AEBA6EC" w14:textId="46A550A1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80AEF5" w14:textId="60296FA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4D1C9" w14:textId="29E5548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Wentylacja i oświetlenie tunelu.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0CB43" w14:textId="5DE8C64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28882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131052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6100D878" w14:textId="2965FFD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189E0" w14:textId="723B6E0D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31FE2" w14:textId="460BD96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Marker laserowy lub świetlny.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ADBD9" w14:textId="4FA01A0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0D6E4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14C414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58F55EEF" w14:textId="3CB31F76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AD48E" w14:textId="4A9D5B8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9372F" w14:textId="4C14A2E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System monitorowania pacjenta (EKG, oddech, puls) – dla wypracowania sygnałów synchronizujących.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48C51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076D99E" w14:textId="0B4BE248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 typ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7708C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CAD6CC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374CB6E1" w14:textId="4995FC2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A85A07" w14:textId="7605DDA3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928726" w14:textId="4BA5D78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Dwa identyczne funkcjonalnie panele sterujące umieszczone na obudowie magnesu po obu stronach łóżka pacjenta.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79705" w14:textId="344A73EB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4968F7" w14:textId="274DCD5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F6F315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0B7693CE" w14:textId="31D825BA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1084D" w14:textId="66FA8060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D85EB1" w14:textId="6ECB940A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Możliwość dokonywania pauzy podczas sekwencji akwizycyjnych bez utraty danych zebranych w danej sekwencji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59BB7" w14:textId="12FB3321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3BF82" w14:textId="49E53741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2C13C8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08311F7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09070F" w14:textId="5F8FF7E2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608A5D" w14:textId="488FF2D3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KONSOLA OPERATORSKA (PODSTAWOWA)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8A8E94D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30B0ECF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A43DAE4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809DA" w:rsidRPr="00F809DA" w14:paraId="6CDC7E42" w14:textId="51FFB6D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E0EA9" w14:textId="4DAD016A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14DA" w14:textId="5563629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Archiwizacja obrazów na dyskach CD-R, CD lub DVD z przeglądarką, DICOM umożliwiającą odtwarzanie obrazów na PC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84E26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E1DD685" w14:textId="362F9DDF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opisać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BB98A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177355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6A189388" w14:textId="50B07A6A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B359A" w14:textId="2EE2930C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4195B" w14:textId="22941DE9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Liczba obrazów w matrycy min. 256x256 bez kompresji możliwych do archiwizacji na HD ≥ 500 000.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F1F126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42D8BAE" w14:textId="0DC851AC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460F6" w14:textId="31152FF5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551BFC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58C087B2" w14:textId="33A8103E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35717D" w14:textId="5DD66D74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4F7F2E" w14:textId="14DDA605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Szybkość rekonstrukcji obrazu w matrycy min. 256x256 przy pełnym FOV ≥ 35 000 obrazów/s.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F141B9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3CEFF72" w14:textId="34A389FB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A9C72" w14:textId="4DF2A84C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83F184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62B614E7" w14:textId="4DD535D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0476FD" w14:textId="4076D659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59038" w14:textId="712F44B2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Maksymalna matryca rekonstrukcyjna ≥ 1024x1024.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A475DB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C8A72B0" w14:textId="0D61F298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E8236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80972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7237E0E9" w14:textId="68CC87B2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06FED" w14:textId="595F070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82B714" w14:textId="5B44D842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Interface użytkownika – lokalizacja trójwymiarowa, możliwość planowania własnych sekwencji.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B66E41" w14:textId="7B294CD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B09458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7EA1EB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7B0A0627" w14:textId="5A165736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FFAE1" w14:textId="0CB766E8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8550A" w14:textId="7A74DCE4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Oprogramowanie konsoli operatorskiej – co najmniej rekonstrukcje MPR, MIP, SSD, VRT (lub równoważne według nomenklatury producenta), pomiary geometryczne (odległości, kąty, powierzchnie), mapy ADC, mapy perfuzji (CBF (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 xml:space="preserve"> Blood 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>), CBV (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 xml:space="preserve"> Blood Volume), MTT (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Mean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 xml:space="preserve"> Transit Time) oraz TTP (Time to 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Peak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>)).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34F87" w14:textId="704B177A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C14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1C9E37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72C696B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90DC" w14:textId="2977A3ED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4F6AE" w14:textId="0BD09EE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Funkcja zgłoszenia awarii bezpośrednio z konsoli operatorskiej urządzenia tomografu rezonansu magnetycznego za pomocą funkcjonalności wbudowanej w UI (Interfejs Użytkownika) systemu MR.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831E0" w14:textId="5D6BE57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E2EDA" w14:textId="0F4E19BD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4817D2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4B34C32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58362" w14:textId="24056458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E198D" w14:textId="423E1A89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Monitor kolorowy, typu LCD, o przekątnej co najmniej 24 cale i rozdzielczości co najmniej 1280x1024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05B5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506EC9F" w14:textId="17080D04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 rozmiar przekątnej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064A8" w14:textId="2E8A633B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12618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105F07B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CB4BC1A" w14:textId="221D5FB8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CA0F508" w14:textId="34DD89E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PRACA W SIECI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5E5079A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6174AA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BC56FCD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05B48" w:rsidRPr="00F05B48" w14:paraId="5B9BAF6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100AC" w14:textId="2AB41D2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97C8" w14:textId="31FF483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SEND/RECEIVE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2B091" w14:textId="29815645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C8D82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7BD7E1C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66DF96E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09E33" w14:textId="774C488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1FF44" w14:textId="61D7601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QUERY/RETRIEVE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AAD65" w14:textId="1E8D6590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ABF6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02E9A3C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1481BB4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081EF" w14:textId="19CBF01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58258" w14:textId="317E02AE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WORKLIST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63F9D" w14:textId="4A399DF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351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C697387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53C4BD3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5E31" w14:textId="159DFCBB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830F9" w14:textId="1F6E9F0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DICOM BASIC PRINT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BC2FC" w14:textId="71D8424F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010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379692D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61D837F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E896B" w14:textId="239748C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AA77B" w14:textId="1074BE53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STORAGE COMMITMENT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8232D" w14:textId="69B61FB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A5B2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F78A17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1B802EB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14A583" w14:textId="1CF5200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1E689C" w14:textId="2487DA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PARAMETRY AKWIZYCYJNE (TECHNIKI OBRAZOWANIA/POSTPROCESSING)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9FF03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9CFCCD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3F14F68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38DC" w:rsidRPr="005F38DC" w14:paraId="5A871AA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21266" w14:textId="24C87F0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F2D6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Maksymalny statyczny FOV:</w:t>
            </w:r>
          </w:p>
          <w:p w14:paraId="490D389C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- dla osi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x,y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≥ 50 cm</w:t>
            </w:r>
          </w:p>
          <w:p w14:paraId="3A089C7C" w14:textId="1B418600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- dla osi z ≥ 50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BF1D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7681B2F" w14:textId="4C5213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7C79E" w14:textId="144938F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E1E7D2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383EE3B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57359" w14:textId="3705134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6C8DF" w14:textId="581C1E4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Matryca akwizycyjna ≥ 1024x1024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94C00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7A4B495" w14:textId="5C2E85A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79FD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144D227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A53736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3FC09" w14:textId="1B8F932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8B452" w14:textId="5DFD26E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Minimalna grubość warstwy (skany 2D) ≤ 0,5 mm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796A4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72A7978" w14:textId="3BE305F0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2B59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87DB9F2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595C5A3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089F6" w14:textId="79A4533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98F16" w14:textId="17CDD0F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Minimalna grubość warstwy (skany 3D) ≤ 0,1 mm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08753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6132E6A" w14:textId="043E3EE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84FCD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34A6DA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5183C8B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53CE9" w14:textId="0030CDD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lastRenderedPageBreak/>
              <w:t>68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4E6F24" w14:textId="609F433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Protokoły pomiarowe bazujące na sekwencjach typu Spin Echo (SE + FSE lub TSE) oraz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Inversion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(FLAIR, STIR).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0A9045" w14:textId="58E3AB8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D78E4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42383C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4D20F4D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47884" w14:textId="465995C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02B42" w14:textId="3138BD4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Protokoły bazujące na sekwencjach typu Gradient Echo.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4B82" w14:textId="68C3099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58D7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9B12D3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B00861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614DE4" w14:textId="2DD7D11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606F5" w14:textId="1D53BEC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Spoiled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GRE T1-w (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spoiled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FLASH).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5CAC1" w14:textId="30CB62E4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F0419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A10A116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62A53CC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D71CEE" w14:textId="2939E3E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DB398" w14:textId="059D82F3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Refocused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GRE T1/T2-w (FLASH).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FC5F5" w14:textId="06B547A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3A058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CF29E06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7A0334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8AFD13" w14:textId="78B8C3B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B8961" w14:textId="738A549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Half Fourier Single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TSE.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25961" w14:textId="1CDC01E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BC3E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DF7D48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50237D2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732210" w14:textId="3E893204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E6E92" w14:textId="53BEDF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Hydrografia MR (mielografia, urografia, cholangiografia) akwizycja 2D i akwizycja 3D, rekonstrukcje 3D, bramkowanie oddechem.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5D3FE0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E1497B4" w14:textId="7C081D6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0CB053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CD55B7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7655839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6D947" w14:textId="1EE8C0D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A71E1" w14:textId="74889193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Maksymalny współczynnik TURBO dla FSE/TSE/HASTE (zgodnie z nomenklaturą producenta) ≥ 256.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F2D94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98F8C97" w14:textId="0D3031C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1847B" w14:textId="297F437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2140D78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3B8AFE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308D24" w14:textId="07E24814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346FD" w14:textId="124B9DD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Czasy akwizycji możliwe do uzyskania podczas normalnej pracy klinicznej (widoczne w parametrach sekwencji)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7387F" w14:textId="79F3461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6F243E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7CE62FF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6E2C395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FF91D" w14:textId="3BEA9EE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48E0C" w14:textId="04D53D1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TR dla 3D GRE (256x256 matryca) ≤ 1,15 ms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0FB93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99A4B43" w14:textId="74E8FF8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460834" w14:textId="1E2A06D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CB59BF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23FB2FB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728C4" w14:textId="1E5D9DD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73C4A5" w14:textId="4D56149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TE dla 3D GRE (256x256 matryca) ≤ 0,34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4068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E4B8E76" w14:textId="2B4A38D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51844" w14:textId="6E21519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FA0B98E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1541CFE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4E0E5" w14:textId="661A8D7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449B38" w14:textId="0F43AAD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TR dla EPI (256x256 matryca) ≤ 6,0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8C7479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80367B7" w14:textId="57B0251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AED669" w14:textId="04ACE24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F644899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7DE7A4E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013783" w14:textId="2567454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B560F" w14:textId="7771D7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TE dla EPI (256x256 matryca) ≤ 2,0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958AF4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BE16381" w14:textId="57134D9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B30E9F" w14:textId="6CA0CC2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044E3E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714BDB6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8513F6" w14:textId="26225F5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BAFAA" w14:textId="6FC40E1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E5FC0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006EEACC" w14:textId="5C89F8D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24603" w14:textId="07BE2E03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DA487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Tak – 10 pkt.</w:t>
            </w:r>
          </w:p>
          <w:p w14:paraId="35B4B9E2" w14:textId="0DAD8572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5F38DC" w:rsidRPr="005F38DC" w14:paraId="082F65C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8DDAE" w14:textId="25AF046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D5320" w14:textId="25F7CEC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Echo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Planar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(obrazowanie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echoplanarne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: single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multi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DAB04A" w14:textId="2EC4902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9F387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F06A6C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2888D42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EF5ABF" w14:textId="06AFF45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78FB20" w14:textId="45DAABD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Echo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Spacing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(czas pomiędzy kolejnymi echami) dla EPI (matryca 256x256) ≤ 0,716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02FBF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C46B4C6" w14:textId="78C7E81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1C19C" w14:textId="0872EC2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BD418E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4BD2902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7B97C7" w14:textId="67F00054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E7A77D9" w14:textId="528B94B5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APLIKACJE KLINICZNE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B548F67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60E5EDF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05A85FA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6438A" w:rsidRPr="0086438A" w14:paraId="5204943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FB19EE" w14:textId="25A38F63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F1EC1D7" w14:textId="4FD4C349" w:rsidR="0086438A" w:rsidRPr="0086438A" w:rsidRDefault="0086438A" w:rsidP="005D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Badania neurologiczne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FF0AA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98A2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46DFCC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0E78B89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E636A" w14:textId="0D07C379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48941B" w14:textId="3054B810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Rutynowe badania neurologiczne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6684EF" w14:textId="3D2610E9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069658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C29FC9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7C1E494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553F1D" w14:textId="7A62E27D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630B09" w14:textId="78637EFA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Badania obszaru głowy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AB2766" w14:textId="1C0B2FD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13205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CC6A7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36BD0C0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BFA30" w14:textId="5E3064B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9CF57" w14:textId="7436F7AF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Badania kręgosłupa i rdzenia kręgowego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F41685" w14:textId="7BC8F7B2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10C4F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60C04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2DF5761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7F7ED" w14:textId="41BC763D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lastRenderedPageBreak/>
              <w:t>87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9F259A" w14:textId="67D36312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 xml:space="preserve">Sekwencja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Steady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State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(stanu ustalonego) do badań OUN (typu FIESTA, CISS lub równoważne) 2D/3D.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726201" w14:textId="338C89AC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6B122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662711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121D1C2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8B54F" w14:textId="00842140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06759" w14:textId="318A670C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 xml:space="preserve">Izotropowe sekwencje 3D pozwalające w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postprocessingu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3D na uzyskanie rekonstrukcji dowolnej płaszczyzny bez straty jakości (SPACE, BRAVO, CUBE lub odpowiednik zgodny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14E2C9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4B99E65" w14:textId="0762A30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 sekwencji oraz typ techniki (np. FSE/TSE, GRE) oraz uzyskiwane kontrasty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E5317" w14:textId="088CE588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C6A7B8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705CD03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60FC9D" w14:textId="55A5ED3E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C7D08D" w14:textId="204E42E3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Wysokorozdzielcze badania neurologiczne głowy umożliwiające badania z cienką warstwą  pozbawione przerw między kolejnymi warstwami (tzw. badania wolumetryczne, izotropowe 3D) oraz pozbawione artefaktów ruchowych, co najmniej w dwóch kontrastach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68C5F2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3E988FEF" w14:textId="4F7EB9B1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Jeśli Tak, podać nazwę sekwencji oraz typ techniki (np. FSE/TSE, GRE) oraz uzyskiwane kontrasty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68E13" w14:textId="4BA6A0FA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156F55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1BA4C10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E26CF" w14:textId="4CBE15F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9390A4" w14:textId="527A8351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Sekwencja 3D do obrazowania zależnego od podatności magnetycznej tkanki (typu ,,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susceptibility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weighted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>’’ – SWI, SWAN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1D727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220BB51" w14:textId="38345FF4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F072B" w14:textId="1AB7C558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82AFF2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5C2C28B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82017" w14:textId="27F5345F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A7965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 xml:space="preserve">Morfologiczne badania neurologiczne głowy – ciche badania neurologiczne możliwe do wykonania z głośnością nie większą niż 3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od poziomu hałasu obecnego w pomieszczeniu badań, gdy skanowanie nie jest wykonywane</w:t>
            </w:r>
          </w:p>
          <w:p w14:paraId="7B13E1DA" w14:textId="6DAFC28C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SilentScan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>, lub odpowiednik, zgodnie z nomenklaturą producenta). Sekwencja możliwa do wykonania co najmniej na zaoferowanej wielokanałowej cewce do badania głowy.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C7712B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44CC5DAF" w14:textId="7583007F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2D538" w14:textId="4E81A3FE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0466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Tak – 3 pkt.</w:t>
            </w:r>
          </w:p>
          <w:p w14:paraId="0C2AAC99" w14:textId="3879993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86438A" w:rsidRPr="0086438A" w14:paraId="047E86C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03414" w14:textId="2AFCCD6E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ABFF4" w14:textId="5E7D2442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Automatyczne pozycjonowanie i ułożenie przekrojów skanu lokalizującego głowy na podstawie cech anatomicznych głowy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BD91A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EC2C191" w14:textId="7EDA9AA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ADEC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84ECD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5CA1058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54570" w14:textId="3399BFA3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lastRenderedPageBreak/>
              <w:t>93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5CCA1" w14:textId="44B6550D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Dedykowane oprogramowanie umożliwiające zautomatyzowane przeprowadzanie pozycjonowania badań mózgu w sposób nadzorowany przez skaner (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AutoAlign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ReadyBrain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AIRx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E9913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3D80863" w14:textId="6D65E405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C6BE3E" w14:textId="1D526EE0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7D292B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25DB53F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3C306" w14:textId="063F93E0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0D9DC3" w14:textId="673C4FCA" w:rsidR="005D00A7" w:rsidRPr="00E14EF0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EF0">
              <w:rPr>
                <w:rFonts w:ascii="Tahoma" w:hAnsi="Tahoma" w:cs="Tahoma"/>
                <w:b/>
                <w:bCs/>
                <w:sz w:val="20"/>
                <w:szCs w:val="20"/>
              </w:rPr>
              <w:t>Dyfuzja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6A20DA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B0AF6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048F2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60E94FA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4A20B" w14:textId="5CED42B8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981D8" w14:textId="0FCDE2C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Obrazowanie dyfuzji w oparciu o sekwencje EPI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7336E" w14:textId="6881E9C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4CD562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A2E2F4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1DB5814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FCE58" w14:textId="5ACC4C1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BEFC5" w14:textId="5AF31A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Dyfuzja DW-EPI łącznie z mapowaniem dróg nerwowych (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Trace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Map) i ADC Map, b max. 10000 s/mm2.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AA1E54" w14:textId="3B4B1B8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5A341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8E0DD6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7547A98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9800E2" w14:textId="4D674BC8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66A8BA" w14:textId="4B6BCAC8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Dyfuzja DW-EPI łącznie z mapowaniem dróg nerwowych (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Trace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Map) i ADC Map, b = 20 s/mm2.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3E479" w14:textId="014F321A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0EE4A" w14:textId="5641C1F2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E9F3A" w14:textId="77777777" w:rsidR="00413FBA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Tak – 2 pkt</w:t>
            </w:r>
          </w:p>
          <w:p w14:paraId="42028225" w14:textId="2C0F4B37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5D00A7" w:rsidRPr="00413FBA" w14:paraId="160EDF7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474850" w14:textId="55BFBF5D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DDEE8" w14:textId="33BA4B1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Liczenie map ADC i TRACE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D4CCF" w14:textId="00004FF6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89BEF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D2E7AE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3BBD95C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D19174" w14:textId="539058E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C5F976" w14:textId="0CDF7F0F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Zaawansowane badania dyfuzyjne mózgu, charakteryzujące się zwiększonym stosunkiem sygnał/szum (np. dzięki zastosowaniu akwizycji radialnej i wykorzystaniu sekwencji TSE lub FSE)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7C3C78" w14:textId="77777777" w:rsidR="00413FBA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0001A67" w14:textId="54C04DF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1C8E4" w14:textId="06DBBED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84CD1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56F89B2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1A703" w14:textId="0B5ADCC3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10425" w14:textId="373542CE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 xml:space="preserve">Wysokorozdzielcze badania dyfuzyjne w oparciu o sekwencje EPI w ograniczonym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(polu widzenia) np. 20cm x 10cm, bez artefaktów typu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folding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, uzyskane za pomocą selektywnego pobudzania 2D fragmentu obrazowanej warstwy lub objętości (FOCUS,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ZOOMit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8C20E" w14:textId="6928C0D3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7958EB" w14:textId="5E149D5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55144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7973917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16FEE3" w14:textId="79B1B8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3D268D" w14:textId="53BAC914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 xml:space="preserve">Dyfuzyjne badania w obszarze głowy (mózgu) – ciche badania neurologiczne możliwe do wykonania z głośnością nie większą niż 12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od poziomu hałasu obecnego w pomieszczeniu badań, gdy skanowanie nie jest wykonywane (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SilentScan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>, lub odpowiednik, zgodnie z nomenklaturą producenta). Sekwencja możliwa do wykonania co najmniej na zaoferowanej wielokanałowej cewce do badania głowy.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07056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52FCD221" w14:textId="49CAE284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60CD6" w14:textId="7E8E573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4959B" w14:textId="77777777" w:rsidR="00413FBA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14:paraId="10F74736" w14:textId="231C4B2E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5D00A7" w:rsidRPr="00413FBA" w14:paraId="39E5044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CC6D7" w14:textId="1DD3F9F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74CE31" w14:textId="35B5325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(interfejsem użytkownika), bez czasowych ograniczeń licencyjnych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5957E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59170E75" w14:textId="0760C17E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92847B" w14:textId="25226CB4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BED67" w14:textId="77777777" w:rsidR="00413FBA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14:paraId="63F144B0" w14:textId="19BF864D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492462" w:rsidRPr="00492462" w14:paraId="5BDEB20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A0800" w14:textId="34B9B44E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01B360" w14:textId="593F78E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Tensor dyfuzji (DTI)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4B5FBD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A4A4C9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5285AA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3387D48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4BFFA" w14:textId="038FB5C2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595FD" w14:textId="730EF23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DTI w oparciu o Single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EPI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07DF49" w14:textId="1F6E1054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D94DE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14B59C" w14:textId="350EE25C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7F11DF9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41B7B6" w14:textId="72863221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31C07F" w14:textId="1583DF2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Pomiary DTI z różnymi kierunkami ≥ 120 kierunków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C9AE4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AB299E2" w14:textId="3D78525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podać liczbę kierunków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C65376" w14:textId="53F8D2D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BE84F7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Największa wartość – 5 pkt</w:t>
            </w:r>
          </w:p>
          <w:p w14:paraId="26FFA3F1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Wartość graniczna – 0 pkt</w:t>
            </w:r>
          </w:p>
          <w:p w14:paraId="237C9FF9" w14:textId="38410E7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Pozostałe proporcjonalnie</w:t>
            </w:r>
          </w:p>
        </w:tc>
      </w:tr>
      <w:tr w:rsidR="00492462" w:rsidRPr="00492462" w14:paraId="1FE140E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5104C" w14:textId="6D7109BC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F280C" w14:textId="32D4FB18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Traktografia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Tensora Dyfuzji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FCF1E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05038B1" w14:textId="123B8166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B9A2C" w14:textId="4B1FCD2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76427B" w14:textId="170EAE4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1EED0EB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166B13" w14:textId="167ED024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16AD50" w14:textId="4192017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Spektroskopia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03C82E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2358C3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1118B2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1EB17A2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337F68" w14:textId="0D4DDAE1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AB9F22" w14:textId="194E0E3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Spektroskopia wodorowa Single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Voxel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(SVS)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4B9D5" w14:textId="6284165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A2275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E8A291" w14:textId="29409EE1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46793EB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D01CFA" w14:textId="34168D9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453E5" w14:textId="3B0718F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Chemical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Shift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(CSI), 2D, 3D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43776B" w14:textId="1A56213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492E32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7E0456" w14:textId="2F1BE35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540A327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BBC4F" w14:textId="0602D59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4030E" w14:textId="173CB1E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Aplikacje do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postprocessingu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badań spektroskopii Single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Voxel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oraz CSI 2D, 3D na konsoli operatora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6208D" w14:textId="0E809C7E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BB3B7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EA3BF0" w14:textId="5BED9D5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37AD9DD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AC0E6" w14:textId="53E87498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A46F992" w14:textId="6329BF83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Perfuzja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E10A7D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5C3CF1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9ADA19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5D6B57A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543A33" w14:textId="13187FD6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9A040" w14:textId="53A4E1B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Sekwencje EPI do perfuzji mózgowej.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59C68" w14:textId="77746DF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DFD80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12E86C" w14:textId="45BA859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5E487C4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302F20" w14:textId="2D6D8EE3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8CBFE1" w14:textId="53F34CB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Obrazowanie perfuzji w oparciu o single-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EPI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A1219" w14:textId="37D40C9C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85308F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A4B1DF" w14:textId="1FA41AB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7D0062A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FE1ED4" w14:textId="5602171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F160BD" w14:textId="2DA977F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Generowanie map TTP (Time-to-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Peak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>) oraz MTT (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Mean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Transit Time) przy badaniach perfuzji MR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91590" w14:textId="596CEE6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D2C86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81EA24" w14:textId="75A2D4E5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2B3D55E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02CB9C" w14:textId="018AB10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9F071" w14:textId="6DC62575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Bezkontrastowa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perfuzja mózgu (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Arterial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Spin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Labeling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>) w oparciu o techniki bazujące na sekwencji typu FSE (Fast Spin Echo), TSE (Turbo Spin Echo) GRE, EPI itp.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A17E9" w14:textId="18197A0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41F09" w14:textId="0FD8232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776A7F" w14:textId="02CE484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2EEBFF3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58065" w14:textId="7649C88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7B7D0D" w14:textId="5D151B1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Analiza perfuzji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bezkontrastowej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ASL na konsoli operatorskiej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95E2D" w14:textId="246C41D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EA0F6" w14:textId="4171D9D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F887D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Tak – 3 pkt</w:t>
            </w:r>
          </w:p>
          <w:p w14:paraId="4A11FB8C" w14:textId="19E40CC3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A24FD3" w:rsidRPr="00A24FD3" w14:paraId="7B6FCFB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7998A" w14:textId="5952BBEB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6A1E8C" w14:textId="6E69D294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b/>
                <w:bCs/>
                <w:sz w:val="20"/>
                <w:szCs w:val="20"/>
              </w:rPr>
              <w:t>Angiografia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22AB6A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6D115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5FE8B8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36E05A3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B074F" w14:textId="3F3C35D0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74182D" w14:textId="6CC0629C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2D/3D Time-of-Flight (angiografia czasu przelotu w projekcjach 2D i 3D)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D02BD9" w14:textId="2B93FBC6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EF1D6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005597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7E03786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030CE" w14:textId="2D525458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0D2A66" w14:textId="5A3532DF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Contrast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Angio/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cine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PCA (angiografia kontrastowo-fazowa w opcji statycznej i dynamicznej do oceny wolnych przepływów)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0638C" w14:textId="05ABBD50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97B931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A863A4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2E3928A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CC569A" w14:textId="11963E6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23166F" w14:textId="288A4E4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 xml:space="preserve">Techniki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bezkontrastowej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angiografii 3D (inne niż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ToF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i PC) o wysokiej rozdzielczości przestrzennej do obrazowania tętnic, (co najmniej mózgu, szyjnej, udowej, podkolanowej, nerkowych) z możliwością tłumienia tkanek tła i przepływu żylnego.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AC3AB" w14:textId="77777777" w:rsidR="000C4871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B20548C" w14:textId="512C55F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podać nazwę techniki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86FDB" w14:textId="3143B0A1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C7D4BE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400D5C1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9F0C75" w14:textId="291687A2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AD9AAD" w14:textId="0CDBCCE2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Angiografia z kontrastem: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3C533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11F8D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A43EE3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6B245A3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53EF51" w14:textId="7382288B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09DEA" w14:textId="674FBD03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3D GE z saturacją tłuszczu,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6E949" w14:textId="7912FDCB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B04FBD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EFE4AC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1A51535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0FE8EF" w14:textId="0F6A2AB5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7EF97" w14:textId="689F4F8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Angiografia naczyń obwodowych i mózgowych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F5ABB" w14:textId="42BBC956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8A0D6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AEF09B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3DECF5E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C54773" w14:textId="4C039AE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52FBAB" w14:textId="3927BE69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 xml:space="preserve">Detekcja kontrastu Bolus Timing (typu Bolus Trak,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Care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Bolus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D9063" w14:textId="44C097A3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E8E175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1E27E3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5529659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C179F6" w14:textId="2B9FF5DB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0AAB5" w14:textId="2B862BB9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Dynamiczne badania angiograficzne 4D (3D dynamiczne w czasie) obszarów takich jak tętnice szyjne, naczynia peryferyjne i. np. z wysoką rozdzielczością przestrzenną i czasową pozwalające na wizualizację dynamiki napływu i odpływu środka kontrastowego z obszaru zainteresowania (typu TRICKS, TWIST, 4D-TRAK, 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9FD6FC" w14:textId="77777777" w:rsidR="000C4871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051C183" w14:textId="6640523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podać nazwę techniki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99DAD" w14:textId="4936FBC3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A2BC94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5D3940C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EB0D5D" w14:textId="2F292DA6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C4E2C" w14:textId="5D65400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Obrazowanie wyników angiografii w 3D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FFE053" w14:textId="105644BB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4DB12F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33A87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4BA38A4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C8395" w14:textId="5D509A4F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60A6EC" w14:textId="58977AE5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MIP, MPR, rekonstrukcje powierzchniowe (SSD) i objętościowe (VRT).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F0839F" w14:textId="46528F8A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F66D6F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D13322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586FA56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8F6299" w14:textId="30C50626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C66325" w14:textId="31F686E0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Badania ortopedyczne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D65AEF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B4A27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08B760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63AAD12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7805D" w14:textId="260ABFE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42F2D" w14:textId="59A10C8D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Protokoły i sekwencje do badań stawów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29E73" w14:textId="126B5A83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D57817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6D1426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2435439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752348" w14:textId="6C45198E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D72965" w14:textId="3B7C0C89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stawu kolanowego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5BCFED" w14:textId="20F9BF69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46E78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4ED45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722B503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CAEAC6" w14:textId="031B964E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D9EC6" w14:textId="2830D83E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barku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E0DAAF" w14:textId="74E485BB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253B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C2CC7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2D3E571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64F4DB" w14:textId="72A06B46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124475" w14:textId="7DEB5483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nadgarstka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D9209C" w14:textId="48160FEA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C4CDEC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1CBAFE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1B79F72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0F6FE2" w14:textId="1695BF9A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403F9" w14:textId="116D5442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stawu skokowego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93D40" w14:textId="2A46300F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8F9945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F79774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1D58161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461A73" w14:textId="45E0AEEC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17C87" w14:textId="61AE7F3F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Sekwencja pozwalająca na uzyskanie podczas jednej akwizycji czterech obrazów : in-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>, out-of-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water-only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fat-only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 (IDEAL, DIXON lub odpowiednik producenta) wykorzystywana m.in. do badań szyi,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mięśnio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>-szkieletowych (np. kolano).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31D37" w14:textId="0248314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4761D" w14:textId="0A948CA1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73F3AE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1C99BB4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335B5A" w14:textId="761B7380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445367" w14:textId="4D8D40F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Kalkulacja map parametrycznych dla właściwości T2 obrazowanej tkanki (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Chrząstkogram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ParametricMap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Cartigram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MapIt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 wraz z protokołami dla w pełni zautomatyzowanego mapowania.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F6FFC7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64069BE" w14:textId="0CCF6A4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550E6" w14:textId="1BCECB1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9D6E34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564FFE8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8ED45" w14:textId="1AEB420C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37943" w14:textId="67520BB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 xml:space="preserve">Sekwencja wolumetryczna 3D do badania stawów u pacjentów z implantami kości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stawów,umożliwiająca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 wykonywanie badań bez artefaktów pochodzących od implantów w celu oceny tkanki znajdującej się bezpośrednio przy implancie ((MAVRIC lub odpowiednik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7289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9BFC94C" w14:textId="034B69D1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podać nazwę techniki, oraz jej typ (np. FSE/TSE, GRE, EPI)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A26CD" w14:textId="5FBE265D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CF572C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0D43B0B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A5CBB" w14:textId="2412561C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lastRenderedPageBreak/>
              <w:t>137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2844A6D" w14:textId="76633EB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Badania abdominalne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FEEF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BC74D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EC9C2D2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1487805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07D27" w14:textId="6B7A7103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ED87" w14:textId="5869A53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Badania w obrębie jamy brzusznej i miednicy małej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1BE6" w14:textId="67F3BB0B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127D1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EF1278F" w14:textId="7FFEFA8C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1779B6B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49218" w14:textId="00617B1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59762" w14:textId="2C1F2940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Pakiet do dynamicznych badań wątroby (VIBE, LAVA lub odpowiednik).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5D53" w14:textId="427E453B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20101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A6D8AFC" w14:textId="73DEBCA6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7CCE5BD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6C824" w14:textId="45C71A74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8C74C" w14:textId="12DB0E89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Cholangiografia MR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28D9E" w14:textId="78C9646D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CC86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67620A0" w14:textId="42F82CCF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4BAEF48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F16FE" w14:textId="166E4C06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21285" w14:textId="6E04FA88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 xml:space="preserve">Obrazowanie dyfuzji w obszarze abdominalnym (typu DWIBS,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BodyVision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>, REVEAL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6915" w14:textId="500C2BE4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532A1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45428D3" w14:textId="45DBC87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0E91AE4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2467C" w14:textId="638533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6BDDF" w14:textId="6092A39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Zaawansowane badania dyfuzyjne jamy brzusznej, charakteryzujące się zwiększonym stosunkiem sygnał/szum (np. dzięki zastosowaniu techniki „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tetrahedral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>” lub równoważnej)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EB7AE" w14:textId="749BD8E9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535F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8903017" w14:textId="1BA60061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31DD6C6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6F3E5" w14:textId="13BA6A6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74A78" w14:textId="59FE34F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 xml:space="preserve">Wysokorozdzielcze badania dyfuzyjne w oparciu o sekwencje EPI w ograniczonym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 (polu widzenia) np. 20cm x 10cm, bez artefaktów typu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folding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, uzyskane za pomocą selektywnego pobudzania 2D fragmentu obrazowanej warstwy lub objętości (FOCUS,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ZOOMit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2DE" w14:textId="176D3D88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A96E3" w14:textId="2F5D7CA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22B4AB2" w14:textId="4A6954D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069714E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467D0" w14:textId="70C2959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F5979" w14:textId="416811ED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Badania abdominalne – całe, kompletne badanie jamy brzusznej (morfologia, badania dynamiczne, cholangiografia, dyfuzja), możliwe do wykonania bez bramkowania, przy użyciu tzw. nawigatora, ze swobodnym oddechem, każdego typu pacjentów, niezależnie od wieku, rozmiaru czy wagi, w tym w szczególności dzieci.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499D9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22F858AA" w14:textId="1A2EFB59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Jeśli Tak, podać nazwę techniki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E4634" w14:textId="7A45238D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CAA3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Tak – 3 pkt.</w:t>
            </w:r>
          </w:p>
          <w:p w14:paraId="1D880791" w14:textId="62B237E0" w:rsidR="003056D1" w:rsidRPr="003056D1" w:rsidRDefault="003056D1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3056D1" w:rsidRPr="003056D1" w14:paraId="14E85E3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E59A1" w14:textId="45DAC7F3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16880" w14:textId="64B9B771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 xml:space="preserve">Sekwencje do wykrywania koncentracji żelaza w wątrobie wraz z oprogramowaniem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postprocessingowym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 – podać nazwę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FF904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35BFFA2" w14:textId="77777777" w:rsid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32C2EFBC" w14:textId="639557F3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3D53C" w14:textId="202B5EFF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81E80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Tak – 2 pkt.</w:t>
            </w:r>
          </w:p>
          <w:p w14:paraId="25C86C1D" w14:textId="75E6E160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3056D1" w:rsidRPr="003056D1" w14:paraId="364F297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93D10" w14:textId="6C0EE8B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83F85" w14:textId="356107A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Zaawansowane sekwencje pozwalające na ocenę stopnia otłuszczenia wątroby (IDEAL IQ, lub odpowiednik wg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4F92D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0D7F536" w14:textId="77777777" w:rsid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01C98758" w14:textId="47E6E57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9ED06" w14:textId="5909881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6C3C7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Tak – 2 pkt.</w:t>
            </w:r>
          </w:p>
          <w:p w14:paraId="33E6BF8C" w14:textId="478198F0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217BEF" w:rsidRPr="00217BEF" w14:paraId="11694B6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67846" w14:textId="4AA9145A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70D831" w14:textId="3590AD8E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Badania kardiologiczne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2A393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9F4BB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45E517E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6DE7138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DBBB5" w14:textId="0CFB052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BEB5" w14:textId="0A5EE500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Cardiac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Morphology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(morfologia serca)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F092F" w14:textId="7583DE4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B5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97B6539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761555F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4D106" w14:textId="24754AF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3A8D2" w14:textId="5EF258BA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Functional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/CINE (obrazowanie czynności serca z opcją dynamiczną)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071BA" w14:textId="1242ADD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7ECED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1C8F96B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1C7E0CD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5C4" w14:textId="28E5215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E455C" w14:textId="2312E10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Dark Blood (obrazowanie z tłumieniem sygnału krwi)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CD5C" w14:textId="264F829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34B0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1581DDA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24EAB4A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F4303" w14:textId="3FE938A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98B2" w14:textId="5350B0E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First-Pass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Perfusion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(perfuzja pierwszego przejścia)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08689" w14:textId="59A002B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5ED24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D1760D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6DC54A8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4C60" w14:textId="2016895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D352" w14:textId="6A94C3B3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Delayed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Enhancement 2D (ocena opóźnionego wzmocnienia kontrastowego 2D i 3D)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6BF76" w14:textId="6824A41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C076F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245E094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F560FC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5E29E" w14:textId="662D58F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913B4CB" w14:textId="60B7B5B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Obrazowanie równoległe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BB114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5243C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79BCEB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5BCB4D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26961" w14:textId="4C8C045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9711" w14:textId="02C2D92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Równoległe techniki akwizycyjne przyśpieszające akwizycję min. 3 razy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20C5F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74D1F12" w14:textId="057C994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DE2B6" w14:textId="341C099D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DDF2C8B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2BACA04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E4CF" w14:textId="1DED8F7E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3B118" w14:textId="32A98A4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Obrazowanie równoległe w oparciu o algorytmy na bazie rekonstrukcji obrazów (ASSET,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, SENSE, SPEEDER lub odpowiednio wg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9BAB" w14:textId="2D2B27AA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9C092" w14:textId="6B9D80B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E7D6585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12DFDA9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D41C6" w14:textId="1F0BE2F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10013" w14:textId="14607192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Obrazowanie równoległe w oparciu o algorytmy na bazie rekonstrukcji przestrzeni k (GRAPPA, GEM , ARC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CD1E" w14:textId="52F1B200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5C740" w14:textId="1D467A2D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D59A371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36B2789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11FE8" w14:textId="5978AE7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1CD56" w14:textId="33C9D176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Technika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autokalibracji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niewymagająca wykonywania oddzielnego pomiaru (skanu), w procesie kalibracji czułości cewek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F5613" w14:textId="60756FC9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5FE15" w14:textId="144E5CA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0B123AD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5DFFE0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2367" w14:textId="47971AF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600B7E" w14:textId="78D25B2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Metody przyspieszenia obrazowania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5E253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8663D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5A71510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37C3C4F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105A6" w14:textId="264E98C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26023" w14:textId="38FF5BC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HyperSense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Compressed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Sensing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,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1EC0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58EE658" w14:textId="0C92B8A3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B0B0" w14:textId="7D06BF2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BB20703" w14:textId="778DD2F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ECF014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57DA" w14:textId="6844891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F2666" w14:textId="66381BE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Technika umożliwiająca wykonywanie szybkich badań wolumetrycznych (3D)  w ograniczonym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(polu widzenia) bez artefaktów typu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folding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, uzyskane za pomocą akwizycji  fragmentu obrazowanej objętości (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HyperCube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AAA9A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7C62533" w14:textId="77777777" w:rsid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4C711FF3" w14:textId="1D036F00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381B9" w14:textId="4B6CDAA9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D5DA9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Tak – 4 pkt.</w:t>
            </w:r>
          </w:p>
          <w:p w14:paraId="74F464E1" w14:textId="5DCEF52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3217E1" w:rsidRPr="003217E1" w14:paraId="2C660C3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BCBEF12" w14:textId="61F09D2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9F7255" w14:textId="0F46AC8D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TECHNIKI REDUKCJI ARTEFAKTÓW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4F21D31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756B35F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42C23CC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217E1" w:rsidRPr="003217E1" w14:paraId="1706518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A5CF8" w14:textId="7FC6C379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D922D" w14:textId="2556699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Próbkowanie nadmiarowe w kierunku fazowym i częstotliwości.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D9A64" w14:textId="7F1D09C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EA8E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20B4FEE" w14:textId="5C62593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0437A45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0266D" w14:textId="55F6142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EF904" w14:textId="2E69AA7E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Kompensacja przepływu krwi.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3EAFE" w14:textId="26BE643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AD244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4F132D4" w14:textId="44063D9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21C50A7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6A36" w14:textId="681DDF7B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C7F12" w14:textId="2606DD3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Kompensacja ruchów oddechowych i czynnościowych (np. perystaltycznych; ruchów serca).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3AD22" w14:textId="7061231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5B1C9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1D27451" w14:textId="3E74DDA9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2CA58E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026B1" w14:textId="7631975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92081" w14:textId="5ACDC60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Bramkowanie oddechowe (również retrospektywne).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0C44A" w14:textId="2331C85E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130A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C123D66" w14:textId="24686B2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51521C7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8B5C" w14:textId="3A536A9B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92DA6" w14:textId="08CA14E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Bramkowanie EKG (również retrospektywne).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9225B" w14:textId="4B914C38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7C9DD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287DDBB" w14:textId="54E3409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B8CCA3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B9ACF" w14:textId="39690F1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EE843" w14:textId="6721AF6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Presaturacja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 xml:space="preserve"> przestrzenna.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15636" w14:textId="12527D5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49D4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76E3FA8" w14:textId="2D32762B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67CE219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7D842" w14:textId="286A81E1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0421A" w14:textId="3E402339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Wyświetlanie sygnałów EKG i oddechowych.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4CF64" w14:textId="3D9427F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4F130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695B1AD" w14:textId="03EC0CC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6EDBD42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C0A1" w14:textId="70328E2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6C199" w14:textId="5448FFD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Saturacja tłuszczu spektralna, in-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, out-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DCDA5" w14:textId="0F8C704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6FC38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026E2EA" w14:textId="11B2771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09FCD83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7AFC1" w14:textId="28593CB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lastRenderedPageBreak/>
              <w:t>169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E5C3F" w14:textId="514C5F8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Korekcja dla cewek powierzchniowych.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5D4B2" w14:textId="79FA0F3D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9B96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9A6AB0C" w14:textId="068ECC6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B17211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A0B80" w14:textId="4A2969AE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808D6" w14:textId="4FB59338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Technika redukcji artefaktów ruchowych przy obrazowaniu głowy wspierająca protokoły generujące obrazy T1 FLAIR, T2, T2 FLAIR, PD - ważone (BLADE ,PROPELLER, JET lub równoważne,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7E3B1" w14:textId="03DDB5E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6D0FF" w14:textId="6B97D0E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4C9C5B" w14:textId="2F443D3F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16A5654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DDEAD" w14:textId="69EBBA79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472FB" w14:textId="4BC50AB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Technika redukcji artefaktów ruchowych w głowie, szyi i kończynach występujących w różnych kierunkach bazująca na sekwencjach T1 FLAIR, T2, T2 FLAIR, PD, wykorzystująca radialną akwizycję przestrzeni K, umożliwiająca akwizycje z matrycą 512 x 512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BE2BE" w14:textId="6139AE5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691E1" w14:textId="7CE2ADA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3372C26" w14:textId="67EE6BB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26B7D07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A31F9" w14:textId="4123C177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C029D" w14:textId="73DD052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Asymetryczne pole widzenia.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CFCC1" w14:textId="37127BE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490A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C03BEB4" w14:textId="40A6E61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3725D0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52D3C" w14:textId="72CBECFB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545FD" w14:textId="011A882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Eliminacja artefaktów powstałych na styku tkanki miękkiej i powietrza (artefaktów typu "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susceptibility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") w badaniu DWI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AEA08" w14:textId="2122D5E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0F6B1" w14:textId="50748BA8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374D093" w14:textId="5DD5799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5B55CD9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0C1E" w14:textId="67977158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88E13" w14:textId="075055B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Eliminacja artefaktów powstałych na styku tkanki miękkiej i powietrza (artefaktów typu "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susceptibility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") w badaniu DWI przy użyciu algorytmu wykorzystującego radialną akwizycję przestrzeni K (PROPELLER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BF073" w14:textId="77777777" w:rsid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8F3E935" w14:textId="28FF3DA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437F4B10" w14:textId="1074656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8EB1" w14:textId="57ADA46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829E1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Tak – 1 pkt.</w:t>
            </w:r>
          </w:p>
          <w:p w14:paraId="23C1C2AB" w14:textId="71BB744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787234" w:rsidRPr="00787234" w14:paraId="539FB99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17E1C1C" w14:textId="319E9CC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090729" w14:textId="4399492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SERWER APLIKACYJNY lub SYSTEM SERWERÓW APLIKACYJNYCH i KONSOLE LEKARSKIE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647115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7530D84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83A6774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7234" w:rsidRPr="00787234" w14:paraId="0ABD6C3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3842" w14:textId="1D5338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8D28E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Serwer aplikacyjny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System serwerów aplikacyjnych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(z własną bazą danych pacjentów) fabrycznie nowy, wyprodukowany w 2021 roku, umożliwiający:</w:t>
            </w:r>
          </w:p>
          <w:p w14:paraId="03D28CEC" w14:textId="053B9474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umożliwiający obsługę min. 3 stacji klienckich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podłaczonych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jednocześnie.</w:t>
            </w:r>
          </w:p>
          <w:p w14:paraId="3F74EC76" w14:textId="07D41B96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jednoczesny nielimitowany dostęp do APLIKACJI PODSTAWOWYCH wymienionych poniżej dla min. 3 użytkowników</w:t>
            </w:r>
          </w:p>
          <w:p w14:paraId="03A04396" w14:textId="50DB92DE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jednoczesny nielimitowany dostęp do APLIKACJI ZAAWANSOWANYCH wymienionych poniżej w liczbie podanej poniżej</w:t>
            </w:r>
          </w:p>
          <w:p w14:paraId="364D875E" w14:textId="73B0FE41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limit jednocześnie przetwarzanych warstw, minimum 40 000.</w:t>
            </w:r>
          </w:p>
          <w:p w14:paraId="4723EF01" w14:textId="574EEBA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Serwer aplikacyjny musi być wyposażony w aplikacje pracujące w oparciu o model pływających licencji w najnowszej wersji oprogramowania.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4C797" w14:textId="09B2481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9B79C" w14:textId="17849AE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5C5A7A7" w14:textId="72EEBC2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457876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C41F5" w14:textId="49D3243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E8B9A" w14:textId="36BF1EF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Minimalne parametry serwera </w:t>
            </w:r>
            <w:r w:rsidR="0071561B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plikacyjnego lub</w:t>
            </w:r>
            <w:r w:rsidR="0071561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systemu serwerów:</w:t>
            </w:r>
          </w:p>
          <w:p w14:paraId="0CDE8969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liczba procesorów: min 2</w:t>
            </w:r>
          </w:p>
          <w:p w14:paraId="504A3B5D" w14:textId="37AB039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• pamięć RAM: min. </w:t>
            </w:r>
            <w:r w:rsidR="001D6F8D">
              <w:rPr>
                <w:rFonts w:ascii="Tahoma" w:hAnsi="Tahoma" w:cs="Tahoma"/>
                <w:sz w:val="20"/>
                <w:szCs w:val="20"/>
              </w:rPr>
              <w:t>128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GB</w:t>
            </w:r>
          </w:p>
          <w:p w14:paraId="4AD43DCB" w14:textId="3E74D09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wbudowana macierz w konfiguracji RAID</w:t>
            </w:r>
            <w:r w:rsidR="001D6F8D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  <w:p w14:paraId="4B537ADF" w14:textId="728D9F8D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• pojemność macierzy: min. </w:t>
            </w:r>
            <w:r w:rsidR="0071561B">
              <w:rPr>
                <w:rFonts w:ascii="Tahoma" w:hAnsi="Tahoma" w:cs="Tahoma"/>
                <w:sz w:val="20"/>
                <w:szCs w:val="20"/>
              </w:rPr>
              <w:t>5</w:t>
            </w:r>
            <w:r w:rsidRPr="00787234">
              <w:rPr>
                <w:rFonts w:ascii="Tahoma" w:hAnsi="Tahoma" w:cs="Tahoma"/>
                <w:sz w:val="20"/>
                <w:szCs w:val="20"/>
              </w:rPr>
              <w:t>TB</w:t>
            </w:r>
          </w:p>
          <w:p w14:paraId="5C9DACF4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redundantne zasilanie typu Hot-plug</w:t>
            </w:r>
          </w:p>
          <w:p w14:paraId="2800F4B8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obudowa serwera do zabudowy w szafie RACK 19</w:t>
            </w:r>
          </w:p>
          <w:p w14:paraId="45AB29A6" w14:textId="3678417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możliwość jednoczesnego przetwarzania min. 40 000 warstw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E9AD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2699062" w14:textId="00465A8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Podać parametry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4D997" w14:textId="260BCE3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3511A" w14:textId="2D9FE1A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1D6F8D"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>pkt.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A732CB">
              <w:rPr>
                <w:rFonts w:ascii="Tahoma" w:hAnsi="Tahoma" w:cs="Tahoma"/>
                <w:sz w:val="20"/>
                <w:szCs w:val="20"/>
              </w:rPr>
              <w:t>4</w:t>
            </w:r>
            <w:r w:rsidRPr="00787234">
              <w:rPr>
                <w:rFonts w:ascii="Tahoma" w:hAnsi="Tahoma" w:cs="Tahoma"/>
                <w:sz w:val="20"/>
                <w:szCs w:val="20"/>
              </w:rPr>
              <w:t>0 000 warstw</w:t>
            </w:r>
          </w:p>
          <w:p w14:paraId="1EAC5577" w14:textId="1C64BBFE" w:rsidR="00787234" w:rsidRPr="00787234" w:rsidRDefault="00787234" w:rsidP="001D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>3 pkt.</w:t>
            </w:r>
            <w:r w:rsidR="001D6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7234">
              <w:rPr>
                <w:rFonts w:ascii="Tahoma" w:hAnsi="Tahoma" w:cs="Tahoma"/>
                <w:sz w:val="20"/>
                <w:szCs w:val="20"/>
              </w:rPr>
              <w:t>- największa zaoferowana wartość, inne proporcjonalnie</w:t>
            </w:r>
          </w:p>
        </w:tc>
      </w:tr>
      <w:tr w:rsidR="00787234" w:rsidRPr="00787234" w14:paraId="0C4AD42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F7052" w14:textId="06ABDADD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D490F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Komputer sterujący konsoli lekarskiej 1 sztuka (stanowisko) o parametrach:</w:t>
            </w:r>
          </w:p>
          <w:p w14:paraId="2898786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Konsola oparta o komputer klasy PC;</w:t>
            </w:r>
          </w:p>
          <w:p w14:paraId="7C4ECFFD" w14:textId="44632574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Pojemność dysku ≥ </w:t>
            </w:r>
            <w:r w:rsidR="0071561B">
              <w:rPr>
                <w:rFonts w:ascii="Tahoma" w:hAnsi="Tahoma" w:cs="Tahoma"/>
                <w:sz w:val="20"/>
                <w:szCs w:val="20"/>
              </w:rPr>
              <w:t>500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GB;</w:t>
            </w:r>
          </w:p>
          <w:p w14:paraId="768E2A4C" w14:textId="78D8237C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Pojemność RAM komputera stacji lekarskiej ≥ </w:t>
            </w:r>
            <w:r w:rsidR="0071561B">
              <w:rPr>
                <w:rFonts w:ascii="Tahoma" w:hAnsi="Tahoma" w:cs="Tahoma"/>
                <w:sz w:val="20"/>
                <w:szCs w:val="20"/>
              </w:rPr>
              <w:t>16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GB;</w:t>
            </w:r>
          </w:p>
          <w:p w14:paraId="46F99C85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Konsola umożliwia pracę lekarzowi przy wyłączonej konsoli operatorskiej tomografu MR. Wszelkie podłączenia i instalacje w cenie oferty.</w:t>
            </w:r>
          </w:p>
          <w:p w14:paraId="70F67E58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Dla konsoli lekarskiej co najmniej 2 diagnostyczne monitory kolorowe o przekątnej min. 21” i rozdzielczości min. 1920x1200 pikseli</w:t>
            </w:r>
          </w:p>
          <w:p w14:paraId="3064D67A" w14:textId="3B59E29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oraz monitor opisowy min. 19’’, rozdzielczość min. 1280x1024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4D43F" w14:textId="0257899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F4B21" w14:textId="73451BB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4820D74" w14:textId="442229D4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957433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3098" w14:textId="50773931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F9C32" w14:textId="77777777" w:rsidR="00A33F83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APLIKACJE PODSTAWOWE</w:t>
            </w:r>
          </w:p>
          <w:p w14:paraId="0CDAF005" w14:textId="3156ACC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(jednoczesny nielimitowany dostęp dla min. 3 użytkowników)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69727" w14:textId="1EC71C3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19ADF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0AF1F79" w14:textId="6DAB728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622334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A8226" w14:textId="6EC5F0AE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FDE99" w14:textId="00FB54A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Rekonstrukcje 3D MPR, 3D MIP, 3D Volume Rendering (VRT)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B518D" w14:textId="38662C31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44A05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F785359" w14:textId="6556381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08502B7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6229A" w14:textId="6B996527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A58CA" w14:textId="21955C1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D3E55" w14:textId="7CDA2E3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33F3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7BEA86D" w14:textId="37B3362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8EB597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FAA0E" w14:textId="2B3D1315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B954E" w14:textId="017E25A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BB059" w14:textId="42BA36E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90619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68BB6A9" w14:textId="713167E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140D923C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435E7" w14:textId="4D141A51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48235" w14:textId="79A3196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Rekonstrukcje 3D typu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Cinematic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Rendering, bazujące na dokładnej fizycznej symulacji oddziaływania światła z materią, realizujące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fotorealistyczny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 (Volume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Illumination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Cinematic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VRT, lub odpowiednio do nomenklatury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41A4C" w14:textId="0112D25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 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B6F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B7353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Tak – 3 pkt.</w:t>
            </w:r>
          </w:p>
          <w:p w14:paraId="45241384" w14:textId="1A24015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787234" w:rsidRPr="00787234" w14:paraId="09F7E789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FD51F" w14:textId="12475E66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8FF17C" w14:textId="07358FE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APLIKACJE ZAAWANSOWANE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F91D" w14:textId="1A6EC35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4A9EC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5A79B27" w14:textId="6818787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C578CED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275F" w14:textId="7864DC1F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52E9F" w14:textId="78AB5AD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Wykresy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time-intensity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dla badań MR z kontrastem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A4BB3" w14:textId="60C8BA0D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6E5E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23D7FAB" w14:textId="0DD2F44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8592DC8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48807" w14:textId="411E3558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37BA4" w14:textId="1B62563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analizy wyników spektroskopii protonowej typu SVS oraz 2D i 3D CSI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B093D" w14:textId="26912E74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27A6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853F7DF" w14:textId="70F32435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B8F0C3B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FEE5F" w14:textId="13FE7BDE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BC3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ilościowej analizy badań perfuzji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neuro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>), a w szczególności kalkulacja i prezentacja w kolorze następujących wskaźników:</w:t>
            </w:r>
          </w:p>
          <w:p w14:paraId="350FF966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- TTP (Time-to-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Peak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DF849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relMTT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relative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Mean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Transit  Time)</w:t>
            </w:r>
          </w:p>
          <w:p w14:paraId="59ED5F3A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relCBV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relative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Blood Volume)</w:t>
            </w:r>
          </w:p>
          <w:p w14:paraId="50686ADB" w14:textId="026B28E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relCBF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relative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Blood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8442D" w14:textId="640C46C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4C6A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9CC3EB9" w14:textId="3AC0F73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426B760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2925" w14:textId="6645B54B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85812" w14:textId="0B7E692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Analiza perfuzji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bezkontrastowej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ASL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76608" w14:textId="0B94BE0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2349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0609451" w14:textId="3753FD5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059063B4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5B072" w14:textId="3D48B098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EE5B3" w14:textId="535419D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Analiza dyfuzji, mapy ADC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EC73E" w14:textId="5C70AB1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E4661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4EEBB32" w14:textId="2C2AB02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4F7C850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DB1A8" w14:textId="581A05CB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53587" w14:textId="5C63720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Oprogramowanie do analizy 2D i 3D tensora dyfuzji oraz wizualizacji 2D i 3D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traktografii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tensora dyfuzji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33810" w14:textId="6E19B401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A843F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A0034D5" w14:textId="7CB373F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3F63AE6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C8558" w14:textId="52456F50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46A79" w14:textId="4B0D6A7A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Praca w sieci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54DD7" w14:textId="0124664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81F8D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0BF3F9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9244E82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E5D40" w14:textId="38F15C7C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C416E" w14:textId="5CBAA8BB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DICOM 3.0 – SEND/RECEIVE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BC8C9" w14:textId="1A527328" w:rsidR="00A33F83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="00A33F83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EB7095A" w14:textId="1D8F13E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EAD38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57809FF" w14:textId="0B74E1B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FB0729C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4A705" w14:textId="1B82F238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843D5" w14:textId="7FE7E2AD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DICOM 3.0 – QUERY/RETRIEVE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F1420" w14:textId="1B43BE1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3EFFB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88A60CD" w14:textId="1E03DD4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0D232AD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B838" w14:textId="49DEC259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0540" w14:textId="7DEFF164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DICOM 3.0 – DICOM PRINT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F37F9" w14:textId="28351F2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32F7D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BA194B1" w14:textId="154BF42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1D6FBDEE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EF1A8" w14:textId="4818B80C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9BFEE" w14:textId="790C94EB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DICOM 3.0 – Storage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4D7B7" w14:textId="3F4A9B2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4618C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2AEF812" w14:textId="1DE291CD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6651DA63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2D622CF" w14:textId="4AB9B75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C0246C0" w14:textId="229D4B58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WYPOSAŻENIE DODATKOWE, WYMAGANIA DODATKOWE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E610EA4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7B69B8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5937DE6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7B0A" w:rsidRPr="00897B0A" w14:paraId="2383F2A2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259B1" w14:textId="5DAA778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7BDFB" w14:textId="2E02A1E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Klatka Faradaya z kompletnym wykończeniem (1 okno, 1 drzwi).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0287E" w14:textId="0DF0E2C5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E293D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F90DD3A" w14:textId="22E0B69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798581C4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A42C" w14:textId="307A440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B388D" w14:textId="270CE53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Zestaw fantomów do kalibracji i testowania aparatu.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549C6" w14:textId="34C15C0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EE85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6CA49FE" w14:textId="21CA310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649003B0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03D02" w14:textId="4CC6EC4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1327D" w14:textId="6BA5AD4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Zestaw podkładek do pozycjonowania przy różnych typach badań.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AF187" w14:textId="4DF4B70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0954C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CFC4280" w14:textId="64C78F6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32727586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A52F4" w14:textId="62204AC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D1037" w14:textId="736F00D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Instrukcja obsługi w języku polskim do wszystkich oferowanych składowych systemu – dostarczana wraz z aparatem.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3E2F4" w14:textId="047F96C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65D5E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DB8B7DC" w14:textId="56D5C65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17C6EE5F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3603B" w14:textId="7151AD1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FAD5F" w14:textId="5D03298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Uzupełnienie helu w magnesie do poziomu zalecanego przez producenta przed przekazaniem uruchomionego systemu Zamawiającemu (w cenie oferty).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EBC0" w14:textId="5D5C01D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2794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D9211EF" w14:textId="6227334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F262C76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35F65" w14:textId="5E78C908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F77F7" w14:textId="4F81773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Zaoferowany system MR nie wymaga stosowania układu wody lodowej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A0324" w14:textId="34C7ADD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74FB3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1F354" w14:textId="77777777" w:rsid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Tak - 5 pkt</w:t>
            </w:r>
          </w:p>
          <w:p w14:paraId="64A954C6" w14:textId="11A77A0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897B0A" w:rsidRPr="00897B0A" w14:paraId="785A93FF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4805D" w14:textId="20619F5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D2CEE" w14:textId="3058780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Wykonanie testów natężenia pola magnetycznego  oraz testów wszystkich systemów aparatów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16254" w14:textId="590C901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60F61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C98AE11" w14:textId="1C544D6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5E780B7A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C84F6" w14:textId="20B2EBE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5BDCA" w14:textId="54C964B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Monitor poziomu tlenu w pomieszczeniu badań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EC1DA" w14:textId="4D2ABA6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AF5F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317ADEC" w14:textId="69290D8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1E00C40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D31DE" w14:textId="5C6A6F1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EF6BB" w14:textId="272FAED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Ręczny, przenośny detektor metalu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C18AF" w14:textId="6B53EAF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C69D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A6F7B75" w14:textId="66F9C478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BE8F09B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2B770" w14:textId="6809A23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0268" w14:textId="5467C61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Gaśnica niemagnetyczna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D1B85" w14:textId="2C282C4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5C6C6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DD76921" w14:textId="16F31F2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749868C9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32714" w14:textId="510CC05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EE9A8" w14:textId="26989CD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 xml:space="preserve">Dwutłokowy </w:t>
            </w:r>
            <w:proofErr w:type="spellStart"/>
            <w:r w:rsidRPr="00897B0A">
              <w:rPr>
                <w:rFonts w:ascii="Tahoma" w:hAnsi="Tahoma" w:cs="Tahoma"/>
                <w:sz w:val="20"/>
                <w:szCs w:val="20"/>
              </w:rPr>
              <w:t>wstrzykiwacz</w:t>
            </w:r>
            <w:proofErr w:type="spellEnd"/>
            <w:r w:rsidRPr="00897B0A">
              <w:rPr>
                <w:rFonts w:ascii="Tahoma" w:hAnsi="Tahoma" w:cs="Tahoma"/>
                <w:sz w:val="20"/>
                <w:szCs w:val="20"/>
              </w:rPr>
              <w:t xml:space="preserve"> kontrastu zdolny do pracy w silnym polu magnetycznym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9F22" w14:textId="47C6ADB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3C8AC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33648ED" w14:textId="07FF537F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75AC216" w14:textId="77777777" w:rsidTr="000C0227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C37F5" w14:textId="2C82601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D1B6110" w14:textId="0FA0B63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="000C0227">
              <w:rPr>
                <w:rFonts w:ascii="Tahoma" w:hAnsi="Tahoma" w:cs="Tahoma"/>
                <w:sz w:val="20"/>
                <w:szCs w:val="20"/>
              </w:rPr>
              <w:t>techniczno-</w:t>
            </w:r>
            <w:r w:rsidRPr="00897B0A">
              <w:rPr>
                <w:rFonts w:ascii="Tahoma" w:hAnsi="Tahoma" w:cs="Tahoma"/>
                <w:sz w:val="20"/>
                <w:szCs w:val="20"/>
              </w:rPr>
              <w:t xml:space="preserve">aplikacyjne </w:t>
            </w:r>
            <w:r w:rsidR="000C0227">
              <w:rPr>
                <w:rFonts w:ascii="Tahoma" w:hAnsi="Tahoma" w:cs="Tahoma"/>
                <w:sz w:val="20"/>
                <w:szCs w:val="20"/>
              </w:rPr>
              <w:t xml:space="preserve">dla techników </w:t>
            </w:r>
            <w:r w:rsidRPr="00897B0A">
              <w:rPr>
                <w:rFonts w:ascii="Tahoma" w:hAnsi="Tahoma" w:cs="Tahoma"/>
                <w:sz w:val="20"/>
                <w:szCs w:val="20"/>
              </w:rPr>
              <w:t>w siedzibie Zamawiającego. min. 14 dni roboczych po 8 godz. – do wykorzystania sukcesywnie od daty podpisaniu protokołu przekazania uruchomionego sprzętu, w cenie oferty.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758FC" w14:textId="59CF8A2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DA1E7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4C8D331" w14:textId="6932DC5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6C05E3B1" w14:textId="77777777" w:rsidTr="000C0227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EB989" w14:textId="627BD61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02B2FAF" w14:textId="25B904DF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 xml:space="preserve">Podstawowe szkolenia techniczno-aplikacyjne dla lekarzy w miejscu instalacji (dla około </w:t>
            </w:r>
            <w:r w:rsidR="00883A09" w:rsidRPr="001A632C">
              <w:rPr>
                <w:rFonts w:ascii="Tahoma" w:hAnsi="Tahoma" w:cs="Tahoma"/>
                <w:sz w:val="20"/>
                <w:szCs w:val="20"/>
              </w:rPr>
              <w:t>5</w:t>
            </w:r>
            <w:r w:rsidRPr="001A632C">
              <w:rPr>
                <w:rFonts w:ascii="Tahoma" w:hAnsi="Tahoma" w:cs="Tahoma"/>
                <w:sz w:val="20"/>
                <w:szCs w:val="20"/>
              </w:rPr>
              <w:t xml:space="preserve"> osób personelu)</w:t>
            </w:r>
            <w:r w:rsidR="00D1711E" w:rsidRPr="001A6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32C">
              <w:rPr>
                <w:rFonts w:ascii="Tahoma" w:hAnsi="Tahoma" w:cs="Tahoma"/>
                <w:sz w:val="20"/>
                <w:szCs w:val="20"/>
              </w:rPr>
              <w:t>w siedzibie zamawiającego potwierdzone certyfikatami przez min.</w:t>
            </w:r>
            <w:r w:rsidR="00D1711E" w:rsidRPr="001A6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32C">
              <w:rPr>
                <w:rFonts w:ascii="Tahoma" w:hAnsi="Tahoma" w:cs="Tahoma"/>
                <w:sz w:val="20"/>
                <w:szCs w:val="20"/>
              </w:rPr>
              <w:t>20 dni (8 godz. na dzień) rozłożone w czasie okresu gwarancji:</w:t>
            </w:r>
          </w:p>
          <w:p w14:paraId="53D121FE" w14:textId="77777777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>- pierwszy etap w wymiarze min 5 dni po zainstalowaniu aparatu</w:t>
            </w:r>
          </w:p>
          <w:p w14:paraId="1911E9D0" w14:textId="77777777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>- drugi etap 5 dni w terminie do 4 m-</w:t>
            </w:r>
            <w:proofErr w:type="spellStart"/>
            <w:r w:rsidRPr="001A632C"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</w:p>
          <w:p w14:paraId="54C09350" w14:textId="5F43908D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>- trzeci etap pozostałe 10 dni do końca trwania gwarancji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03608" w14:textId="6293232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5C62C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51043CD" w14:textId="5F3AFD9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74145CD7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CDD6F" w14:textId="70C8CED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C6F6" w14:textId="4A05E2A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Słuchawki tłumiące hałas dla pacjenta z podłączeniem do systemu muzycznego, do odsłuchu np. muzyki i komunikacji z pacjentem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8AAD4" w14:textId="5ED5B52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E4A3B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7E26A49" w14:textId="751EA45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EF6BF3A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A61B" w14:textId="0A29800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33959" w14:textId="0025949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Zestaw szafek do przechowywania fantomów i cewek w pomieszczeniu MR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BAF25" w14:textId="3CC2193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B17E8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010C8DE" w14:textId="3392FFA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DE867C0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2BEA2" w14:textId="5488798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806ED" w14:textId="676026A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Okres gwarancji – minimum 24 miesiące liczony od momentu uruchomienia systemu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6C72D" w14:textId="77777777" w:rsid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F9E5CCE" w14:textId="4D027A9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B3934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BAE6F16" w14:textId="2965D0E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325" w:rsidRPr="00897B0A" w14:paraId="741398EB" w14:textId="77777777" w:rsidTr="009E7325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337D95" w14:textId="053F8AA8" w:rsidR="009E7325" w:rsidRDefault="009E7325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210a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E65A07B" w14:textId="6E046788" w:rsidR="009E7325" w:rsidRPr="00897B0A" w:rsidRDefault="009E7325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325">
              <w:rPr>
                <w:rFonts w:ascii="Tahoma" w:hAnsi="Tahoma" w:cs="Tahoma"/>
                <w:sz w:val="20"/>
                <w:szCs w:val="20"/>
              </w:rPr>
              <w:t xml:space="preserve">Sprzedawca bezwzględnie gwarantuje (art. 473 § 1 kodeksu cywilnego) że </w:t>
            </w:r>
            <w:r>
              <w:rPr>
                <w:rFonts w:ascii="Tahoma" w:hAnsi="Tahoma" w:cs="Tahoma"/>
                <w:sz w:val="20"/>
                <w:szCs w:val="20"/>
              </w:rPr>
              <w:t>oferowany s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przęt, po upływie okresu gwarancji, o którym mowa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pkt. 210 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jest lub będzie pozbawiony wszelkich blokad itp., w tym w szczególności kodów serwisowych które po upływie gwarancji uniemożliwiałyby lub utrudniałyby </w:t>
            </w:r>
            <w:r>
              <w:rPr>
                <w:rFonts w:ascii="Tahoma" w:hAnsi="Tahoma" w:cs="Tahoma"/>
                <w:sz w:val="20"/>
                <w:szCs w:val="20"/>
              </w:rPr>
              <w:t>Kupującemu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 dostęp do opcji serwisowych lub naprawę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przętu przez inny niż Sprzedawca podmiot w przypadku niekorzystania przez </w:t>
            </w:r>
            <w:r>
              <w:rPr>
                <w:rFonts w:ascii="Tahoma" w:hAnsi="Tahoma" w:cs="Tahoma"/>
                <w:sz w:val="20"/>
                <w:szCs w:val="20"/>
              </w:rPr>
              <w:t>Kupującego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 z serwisu pogwarancyjnego Sprzedawcy - na ryzyko Sprzedawcy. Sprzedawca najpóźniej w ostatnim dniu okresu gwarancji udostępni </w:t>
            </w:r>
            <w:r>
              <w:rPr>
                <w:rFonts w:ascii="Tahoma" w:hAnsi="Tahoma" w:cs="Tahoma"/>
                <w:sz w:val="20"/>
                <w:szCs w:val="20"/>
              </w:rPr>
              <w:t>Kupującemu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 wszelkie kody serwisowe lub odblokuje urządzenie umożliwiając </w:t>
            </w:r>
            <w:r>
              <w:rPr>
                <w:rFonts w:ascii="Tahoma" w:hAnsi="Tahoma" w:cs="Tahoma"/>
                <w:sz w:val="20"/>
                <w:szCs w:val="20"/>
              </w:rPr>
              <w:t>Kupującemu</w:t>
            </w:r>
            <w:r w:rsidRPr="009E7325">
              <w:rPr>
                <w:rFonts w:ascii="Tahoma" w:hAnsi="Tahoma" w:cs="Tahoma"/>
                <w:sz w:val="20"/>
                <w:szCs w:val="20"/>
              </w:rPr>
              <w:t xml:space="preserve"> dostęp do opcji serwisowych i naprawę. Powyższe dotyczy również aktualizacji oprogramowania i zmiany kodów serwisowych.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CA8957" w14:textId="7D2FB3BA" w:rsidR="009E7325" w:rsidRPr="00897B0A" w:rsidRDefault="009E7325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403B5C8" w14:textId="77777777" w:rsidR="009E7325" w:rsidRPr="00897B0A" w:rsidRDefault="009E7325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E2EFD9" w:themeFill="accent6" w:themeFillTint="33"/>
            <w:vAlign w:val="center"/>
          </w:tcPr>
          <w:p w14:paraId="0D619812" w14:textId="77777777" w:rsidR="009E7325" w:rsidRPr="00897B0A" w:rsidRDefault="009E7325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DE1C1D4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0F28A" w14:textId="243E9CB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55E0A" w14:textId="11FE9B66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Leżanka antymagnetyczna do transportu pacjentów w pozycji leżącej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59187" w14:textId="6F9C517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CD777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102A787" w14:textId="420B1836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57D8BD1D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5CF69" w14:textId="66B8FE5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2D079" w14:textId="6581F01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Wózek inwalidzki antymagnetyczny do transportu pacjentów w pozycji siedzącej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4B049" w14:textId="44E49525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C3F3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8491C8A" w14:textId="3EACAC9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307320F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D95A" w14:textId="2069B5F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E2709" w14:textId="31D0B7B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Biurko konsoli operatora i krzesło operatora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8033" w14:textId="2F250C1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F0F27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22510ED" w14:textId="016679C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1BFECD2E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83AC0" w14:textId="3792F88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28E4C" w14:textId="180992C1" w:rsidR="00897B0A" w:rsidRPr="00897B0A" w:rsidRDefault="008172A0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Integracja rezonansu i systemu 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postprocessingu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 posiadanym przez zamawiającego systemem PACS, systemem RIS oraz systemem HIS.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9DC71" w14:textId="0303BC9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AA4EE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7D61C0B" w14:textId="53595A25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9847AB" w14:textId="4561E035" w:rsidR="003745D0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2F934E6" w14:textId="672D9389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Wymogiem jest, aby </w:t>
      </w:r>
      <w:r w:rsidR="001A632C">
        <w:rPr>
          <w:rFonts w:ascii="Tahoma" w:hAnsi="Tahoma" w:cs="Tahoma"/>
          <w:b/>
          <w:bCs/>
          <w:sz w:val="20"/>
          <w:szCs w:val="20"/>
        </w:rPr>
        <w:t>Sprzedawca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 zaoferował urządzenie, o parametrach CO NAJMNIEJ takich, jakie są przedstawione w</w:t>
      </w:r>
      <w:r w:rsidR="000B650E">
        <w:rPr>
          <w:rFonts w:ascii="Tahoma" w:hAnsi="Tahoma" w:cs="Tahoma"/>
          <w:b/>
          <w:bCs/>
          <w:sz w:val="20"/>
          <w:szCs w:val="20"/>
        </w:rPr>
        <w:t> 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rubryce „Parametr wymagany”. Niespełnienie tego warunku spowoduje odrzucenie oferty. </w:t>
      </w:r>
    </w:p>
    <w:p w14:paraId="0D6F4A74" w14:textId="73C1397F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W kolumnie „Parametr oferowany (w miejscach oznaczonych (*) </w:t>
      </w:r>
      <w:r w:rsidR="001A632C">
        <w:rPr>
          <w:rFonts w:ascii="Tahoma" w:hAnsi="Tahoma" w:cs="Tahoma"/>
          <w:b/>
          <w:bCs/>
          <w:sz w:val="20"/>
          <w:szCs w:val="20"/>
        </w:rPr>
        <w:t xml:space="preserve">należy 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podać numer strony </w:t>
      </w:r>
      <w:r w:rsidR="001A632C">
        <w:rPr>
          <w:rFonts w:ascii="Tahoma" w:hAnsi="Tahoma" w:cs="Tahoma"/>
          <w:b/>
          <w:bCs/>
          <w:sz w:val="20"/>
          <w:szCs w:val="20"/>
        </w:rPr>
        <w:t>FMI, na której znajduje się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 potwierdzenie zaoferowanej wartość)”</w:t>
      </w:r>
      <w:r w:rsidR="001A632C">
        <w:rPr>
          <w:rFonts w:ascii="Tahoma" w:hAnsi="Tahoma" w:cs="Tahoma"/>
          <w:b/>
          <w:bCs/>
          <w:sz w:val="20"/>
          <w:szCs w:val="20"/>
        </w:rPr>
        <w:t>.</w:t>
      </w:r>
    </w:p>
    <w:p w14:paraId="0187F107" w14:textId="77777777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>Zamawiający zastrzega sobie prawo weryfikacji deklarowanych parametrów z użyciem wszelkich dostępnych źródeł, w tym zapytanie bezpośrednio u producenta sprzętu.</w:t>
      </w:r>
    </w:p>
    <w:p w14:paraId="57364573" w14:textId="28D3A2F1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Zamawiający zastrzega sobie również możliwość zwrócenia się do </w:t>
      </w:r>
      <w:r w:rsidR="009F748A">
        <w:rPr>
          <w:rFonts w:ascii="Tahoma" w:hAnsi="Tahoma" w:cs="Tahoma"/>
          <w:b/>
          <w:bCs/>
          <w:sz w:val="20"/>
          <w:szCs w:val="20"/>
        </w:rPr>
        <w:t>Sprzedawców</w:t>
      </w:r>
      <w:r w:rsidRPr="00CC760D">
        <w:rPr>
          <w:rFonts w:ascii="Tahoma" w:hAnsi="Tahoma" w:cs="Tahoma"/>
          <w:b/>
          <w:bCs/>
          <w:sz w:val="20"/>
          <w:szCs w:val="20"/>
        </w:rPr>
        <w:t>, w celu potwierdzenia oferowanych funkcjonalności, o prezentację oferowanej konsoli satelitarnej (lekarskiej) w siedzibie Zamawiającego lub innej placówce stosującej tą konsolę satelitarną (lekarską). Brak możliwości prezentacji wymaganych funkcjonalności będzie jednoznaczny z niespełnieniem danego wymogu specyfikacji.</w:t>
      </w:r>
    </w:p>
    <w:p w14:paraId="5813378D" w14:textId="73050551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Oświadczamy, że oferowany powyżej wyspecyfikowany sprzęt jest zgodny z wymogami </w:t>
      </w:r>
      <w:r w:rsidR="009F748A">
        <w:rPr>
          <w:rFonts w:ascii="Tahoma" w:hAnsi="Tahoma" w:cs="Tahoma"/>
          <w:b/>
          <w:bCs/>
          <w:sz w:val="20"/>
          <w:szCs w:val="20"/>
        </w:rPr>
        <w:t>Zapytania ofertowego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, kompletny </w:t>
      </w:r>
      <w:r w:rsidRPr="00CC760D">
        <w:rPr>
          <w:rFonts w:ascii="Tahoma" w:hAnsi="Tahoma" w:cs="Tahoma"/>
          <w:b/>
          <w:bCs/>
          <w:sz w:val="20"/>
          <w:szCs w:val="20"/>
        </w:rPr>
        <w:lastRenderedPageBreak/>
        <w:t>i</w:t>
      </w:r>
      <w:r w:rsidR="009F748A">
        <w:rPr>
          <w:rFonts w:ascii="Tahoma" w:hAnsi="Tahoma" w:cs="Tahoma"/>
          <w:b/>
          <w:bCs/>
          <w:sz w:val="20"/>
          <w:szCs w:val="20"/>
        </w:rPr>
        <w:t> </w:t>
      </w:r>
      <w:r w:rsidRPr="00CC760D">
        <w:rPr>
          <w:rFonts w:ascii="Tahoma" w:hAnsi="Tahoma" w:cs="Tahoma"/>
          <w:b/>
          <w:bCs/>
          <w:sz w:val="20"/>
          <w:szCs w:val="20"/>
        </w:rPr>
        <w:t>będzie gotowy do</w:t>
      </w:r>
      <w:r w:rsidR="000B650E">
        <w:rPr>
          <w:rFonts w:ascii="Tahoma" w:hAnsi="Tahoma" w:cs="Tahoma"/>
          <w:b/>
          <w:bCs/>
          <w:sz w:val="20"/>
          <w:szCs w:val="20"/>
        </w:rPr>
        <w:t> </w:t>
      </w:r>
      <w:r w:rsidRPr="00CC760D">
        <w:rPr>
          <w:rFonts w:ascii="Tahoma" w:hAnsi="Tahoma" w:cs="Tahoma"/>
          <w:b/>
          <w:bCs/>
          <w:sz w:val="20"/>
          <w:szCs w:val="20"/>
        </w:rPr>
        <w:t>użytkowania bez żadnych dodatkowych zakupów i inwestycji.</w:t>
      </w:r>
    </w:p>
    <w:p w14:paraId="56E3246C" w14:textId="77777777" w:rsidR="00CC760D" w:rsidRPr="001A6151" w:rsidRDefault="00CC760D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E74281" w14:textId="1C58AF9F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561CCA" w14:textId="2F9B2370" w:rsidR="00F106B2" w:rsidRPr="001A6151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E268EB" w14:textId="3CDFE80C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D5E4AE" w14:textId="77777777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EDB7D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86D4001" w14:textId="4B025BF6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A6151">
        <w:rPr>
          <w:rFonts w:ascii="Tahoma" w:hAnsi="Tahoma" w:cs="Tahoma"/>
          <w:color w:val="000000"/>
          <w:sz w:val="20"/>
          <w:szCs w:val="20"/>
        </w:rPr>
        <w:t>_________________, dnia ___/___/2021 r.</w:t>
      </w:r>
    </w:p>
    <w:p w14:paraId="423D4D2A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C62630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______________________________</w:t>
      </w:r>
    </w:p>
    <w:p w14:paraId="00B3E8CA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podpis i pieczątka imienna</w:t>
      </w:r>
    </w:p>
    <w:p w14:paraId="6B11D6BB" w14:textId="20BCE165" w:rsidR="007110BC" w:rsidRPr="001A6151" w:rsidRDefault="003745D0" w:rsidP="00E1510E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 xml:space="preserve">osoby upoważnionej do reprezentowania </w:t>
      </w:r>
      <w:r w:rsidR="009F748A">
        <w:rPr>
          <w:rFonts w:ascii="Tahoma" w:hAnsi="Tahoma" w:cs="Tahoma"/>
          <w:i/>
          <w:iCs/>
          <w:color w:val="000000"/>
          <w:sz w:val="20"/>
          <w:szCs w:val="20"/>
        </w:rPr>
        <w:t>Sprzedawcy</w:t>
      </w:r>
    </w:p>
    <w:sectPr w:rsidR="007110BC" w:rsidRPr="001A6151" w:rsidSect="00CD24A0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F76" w14:textId="77777777" w:rsidR="004C2F6B" w:rsidRDefault="004C2F6B" w:rsidP="001030FF">
      <w:pPr>
        <w:spacing w:after="0" w:line="240" w:lineRule="auto"/>
      </w:pPr>
      <w:r>
        <w:separator/>
      </w:r>
    </w:p>
  </w:endnote>
  <w:endnote w:type="continuationSeparator" w:id="0">
    <w:p w14:paraId="15225467" w14:textId="77777777" w:rsidR="004C2F6B" w:rsidRDefault="004C2F6B" w:rsidP="001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9921823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87BE59" w14:textId="78A1164F" w:rsidR="00914193" w:rsidRPr="00914193" w:rsidRDefault="00914193" w:rsidP="000A645F">
            <w:pPr>
              <w:pStyle w:val="Stopka"/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419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1419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970BB7" w14:textId="0BE8E2FA" w:rsidR="00BC61B7" w:rsidRDefault="00BC61B7" w:rsidP="00BC61B7">
    <w:pPr>
      <w:spacing w:after="0"/>
      <w:jc w:val="center"/>
      <w:rPr>
        <w:rFonts w:ascii="Arial" w:hAnsi="Arial" w:cs="Arial"/>
        <w:sz w:val="14"/>
        <w:szCs w:val="14"/>
      </w:rPr>
    </w:pPr>
    <w:r w:rsidRPr="00DA26AC">
      <w:rPr>
        <w:noProof/>
      </w:rPr>
      <w:drawing>
        <wp:inline distT="0" distB="0" distL="0" distR="0" wp14:anchorId="257E57BB" wp14:editId="35B21553">
          <wp:extent cx="5762625" cy="352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6BDA" w14:textId="1DA6492A" w:rsidR="00166466" w:rsidRDefault="00914193" w:rsidP="00914193">
    <w:pPr>
      <w:pStyle w:val="Stopka"/>
      <w:jc w:val="center"/>
    </w:pPr>
    <w:r w:rsidRPr="00D245F7">
      <w:rPr>
        <w:noProof/>
      </w:rPr>
      <w:drawing>
        <wp:inline distT="0" distB="0" distL="0" distR="0" wp14:anchorId="0F517FEA" wp14:editId="44A4FB90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4568" w14:textId="77777777" w:rsidR="004C2F6B" w:rsidRDefault="004C2F6B" w:rsidP="001030FF">
      <w:pPr>
        <w:spacing w:after="0" w:line="240" w:lineRule="auto"/>
      </w:pPr>
      <w:r>
        <w:separator/>
      </w:r>
    </w:p>
  </w:footnote>
  <w:footnote w:type="continuationSeparator" w:id="0">
    <w:p w14:paraId="4BB2EB70" w14:textId="77777777" w:rsidR="004C2F6B" w:rsidRDefault="004C2F6B" w:rsidP="001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705" w14:textId="15CD1D5E" w:rsidR="000A645F" w:rsidRDefault="000A645F" w:rsidP="000A645F">
    <w:pPr>
      <w:pStyle w:val="Nagwek"/>
      <w:jc w:val="center"/>
    </w:pPr>
    <w:r>
      <w:rPr>
        <w:noProof/>
      </w:rPr>
      <w:drawing>
        <wp:inline distT="0" distB="0" distL="0" distR="0" wp14:anchorId="78EC4E5A" wp14:editId="1C86BD2C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A7" w14:textId="1971E65E" w:rsidR="00166466" w:rsidRDefault="00914193" w:rsidP="00914193">
    <w:pPr>
      <w:pStyle w:val="Nagwek"/>
      <w:jc w:val="center"/>
    </w:pPr>
    <w:r>
      <w:rPr>
        <w:noProof/>
      </w:rPr>
      <w:drawing>
        <wp:inline distT="0" distB="0" distL="0" distR="0" wp14:anchorId="419F6736" wp14:editId="1B474BE6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59823AAE"/>
    <w:lvl w:ilvl="0" w:tplc="AA3C47D0"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hybridMultilevel"/>
    <w:tmpl w:val="00000021"/>
    <w:lvl w:ilvl="0" w:tplc="00000C8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0000002A"/>
    <w:lvl w:ilvl="0" w:tplc="0000100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00000030"/>
    <w:lvl w:ilvl="0" w:tplc="0000125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00000031"/>
    <w:lvl w:ilvl="0" w:tplc="000012C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0032"/>
    <w:multiLevelType w:val="hybridMultilevel"/>
    <w:tmpl w:val="00000032"/>
    <w:lvl w:ilvl="0" w:tplc="0000132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00000033"/>
    <w:lvl w:ilvl="0" w:tplc="0000138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00000034"/>
    <w:lvl w:ilvl="0" w:tplc="000013E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hybridMultilevel"/>
    <w:tmpl w:val="00000035"/>
    <w:lvl w:ilvl="0" w:tplc="0000145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00000036"/>
    <w:lvl w:ilvl="0" w:tplc="000014B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hybridMultilevel"/>
    <w:tmpl w:val="00000037"/>
    <w:lvl w:ilvl="0" w:tplc="0000151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0038"/>
    <w:multiLevelType w:val="hybridMultilevel"/>
    <w:tmpl w:val="00000038"/>
    <w:lvl w:ilvl="0" w:tplc="0000157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00000039"/>
    <w:lvl w:ilvl="0" w:tplc="000015E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003A"/>
    <w:multiLevelType w:val="hybridMultilevel"/>
    <w:tmpl w:val="0000003A"/>
    <w:lvl w:ilvl="0" w:tplc="0000164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hybridMultilevel"/>
    <w:tmpl w:val="0000003B"/>
    <w:lvl w:ilvl="0" w:tplc="000016A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0000003C"/>
    <w:lvl w:ilvl="0" w:tplc="0000170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hybridMultilevel"/>
    <w:tmpl w:val="0000003D"/>
    <w:lvl w:ilvl="0" w:tplc="0000177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0000003E"/>
    <w:lvl w:ilvl="0" w:tplc="000017D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0000003F"/>
    <w:lvl w:ilvl="0" w:tplc="0000183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0040"/>
    <w:multiLevelType w:val="hybridMultilevel"/>
    <w:tmpl w:val="00000040"/>
    <w:lvl w:ilvl="0" w:tplc="0000189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00000041"/>
    <w:lvl w:ilvl="0" w:tplc="000019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00000042"/>
    <w:lvl w:ilvl="0" w:tplc="000019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00000043"/>
    <w:lvl w:ilvl="0" w:tplc="000019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0044"/>
    <w:multiLevelType w:val="hybridMultilevel"/>
    <w:tmpl w:val="00000044"/>
    <w:lvl w:ilvl="0" w:tplc="00001A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0045"/>
    <w:multiLevelType w:val="hybridMultilevel"/>
    <w:tmpl w:val="00000045"/>
    <w:lvl w:ilvl="0" w:tplc="00001A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0000046"/>
    <w:multiLevelType w:val="hybridMultilevel"/>
    <w:tmpl w:val="00000046"/>
    <w:lvl w:ilvl="0" w:tplc="00001A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0000047"/>
    <w:multiLevelType w:val="hybridMultilevel"/>
    <w:tmpl w:val="00000047"/>
    <w:lvl w:ilvl="0" w:tplc="00001B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0000048"/>
    <w:multiLevelType w:val="hybridMultilevel"/>
    <w:tmpl w:val="00000048"/>
    <w:lvl w:ilvl="0" w:tplc="00001B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0000049"/>
    <w:multiLevelType w:val="hybridMultilevel"/>
    <w:tmpl w:val="00000049"/>
    <w:lvl w:ilvl="0" w:tplc="00001C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000004A"/>
    <w:multiLevelType w:val="hybridMultilevel"/>
    <w:tmpl w:val="0000004A"/>
    <w:lvl w:ilvl="0" w:tplc="00001C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000004B"/>
    <w:multiLevelType w:val="hybridMultilevel"/>
    <w:tmpl w:val="0000004B"/>
    <w:lvl w:ilvl="0" w:tplc="00001C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00000AB"/>
    <w:multiLevelType w:val="hybridMultilevel"/>
    <w:tmpl w:val="000000AB"/>
    <w:lvl w:ilvl="0" w:tplc="0000426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6" w15:restartNumberingAfterBreak="0">
    <w:nsid w:val="000000D3"/>
    <w:multiLevelType w:val="hybridMultilevel"/>
    <w:tmpl w:val="000000D3"/>
    <w:lvl w:ilvl="0" w:tplc="000052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7" w15:restartNumberingAfterBreak="0">
    <w:nsid w:val="038357D7"/>
    <w:multiLevelType w:val="hybridMultilevel"/>
    <w:tmpl w:val="513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CDF75A9"/>
    <w:multiLevelType w:val="hybridMultilevel"/>
    <w:tmpl w:val="259E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901358"/>
    <w:multiLevelType w:val="hybridMultilevel"/>
    <w:tmpl w:val="A0B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414796"/>
    <w:multiLevelType w:val="hybridMultilevel"/>
    <w:tmpl w:val="019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9"/>
  </w:num>
  <w:num w:numId="77">
    <w:abstractNumId w:val="77"/>
  </w:num>
  <w:num w:numId="78">
    <w:abstractNumId w:val="78"/>
  </w:num>
  <w:num w:numId="79">
    <w:abstractNumId w:val="75"/>
  </w:num>
  <w:num w:numId="80">
    <w:abstractNumId w:val="76"/>
  </w:num>
  <w:num w:numId="81">
    <w:abstractNumId w:val="8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B"/>
    <w:rsid w:val="00005B8E"/>
    <w:rsid w:val="00047E1C"/>
    <w:rsid w:val="00082BE7"/>
    <w:rsid w:val="00086218"/>
    <w:rsid w:val="0009466E"/>
    <w:rsid w:val="000A5314"/>
    <w:rsid w:val="000A645F"/>
    <w:rsid w:val="000B3DC6"/>
    <w:rsid w:val="000B650E"/>
    <w:rsid w:val="000C0227"/>
    <w:rsid w:val="000C4871"/>
    <w:rsid w:val="000D3CA8"/>
    <w:rsid w:val="000D602F"/>
    <w:rsid w:val="000F152A"/>
    <w:rsid w:val="000F2B81"/>
    <w:rsid w:val="001003FC"/>
    <w:rsid w:val="001030FF"/>
    <w:rsid w:val="00104691"/>
    <w:rsid w:val="00153B5F"/>
    <w:rsid w:val="001619CC"/>
    <w:rsid w:val="00166466"/>
    <w:rsid w:val="00173546"/>
    <w:rsid w:val="00190B06"/>
    <w:rsid w:val="001963C1"/>
    <w:rsid w:val="001A6151"/>
    <w:rsid w:val="001A632C"/>
    <w:rsid w:val="001C16DA"/>
    <w:rsid w:val="001D6F8D"/>
    <w:rsid w:val="001E1B5C"/>
    <w:rsid w:val="001F61DE"/>
    <w:rsid w:val="00217BEF"/>
    <w:rsid w:val="00231E70"/>
    <w:rsid w:val="00240733"/>
    <w:rsid w:val="002426BD"/>
    <w:rsid w:val="00244865"/>
    <w:rsid w:val="002455AD"/>
    <w:rsid w:val="00246BC4"/>
    <w:rsid w:val="002473BF"/>
    <w:rsid w:val="0025176E"/>
    <w:rsid w:val="00274FB4"/>
    <w:rsid w:val="002869FF"/>
    <w:rsid w:val="002B7387"/>
    <w:rsid w:val="002C07B8"/>
    <w:rsid w:val="002D789A"/>
    <w:rsid w:val="002F3A35"/>
    <w:rsid w:val="003056D1"/>
    <w:rsid w:val="003203CF"/>
    <w:rsid w:val="003217E1"/>
    <w:rsid w:val="00327F87"/>
    <w:rsid w:val="00330411"/>
    <w:rsid w:val="00337E55"/>
    <w:rsid w:val="0035013C"/>
    <w:rsid w:val="00356E59"/>
    <w:rsid w:val="00360506"/>
    <w:rsid w:val="00363FEC"/>
    <w:rsid w:val="00373188"/>
    <w:rsid w:val="003745D0"/>
    <w:rsid w:val="0037523F"/>
    <w:rsid w:val="00397F0C"/>
    <w:rsid w:val="003A6378"/>
    <w:rsid w:val="003B4F1E"/>
    <w:rsid w:val="003C4380"/>
    <w:rsid w:val="003D6F45"/>
    <w:rsid w:val="003E250F"/>
    <w:rsid w:val="003E624F"/>
    <w:rsid w:val="00413FBA"/>
    <w:rsid w:val="00416FF4"/>
    <w:rsid w:val="00426087"/>
    <w:rsid w:val="004264CF"/>
    <w:rsid w:val="0044473B"/>
    <w:rsid w:val="00446DD6"/>
    <w:rsid w:val="004549F6"/>
    <w:rsid w:val="004703FA"/>
    <w:rsid w:val="00492462"/>
    <w:rsid w:val="00492685"/>
    <w:rsid w:val="00494DCD"/>
    <w:rsid w:val="004A6F60"/>
    <w:rsid w:val="004C2F6B"/>
    <w:rsid w:val="004D38A9"/>
    <w:rsid w:val="004D5F9D"/>
    <w:rsid w:val="004E2FBE"/>
    <w:rsid w:val="0050661C"/>
    <w:rsid w:val="005104D6"/>
    <w:rsid w:val="0051219E"/>
    <w:rsid w:val="005332E3"/>
    <w:rsid w:val="00546A9B"/>
    <w:rsid w:val="00547D35"/>
    <w:rsid w:val="005509CA"/>
    <w:rsid w:val="00551BF3"/>
    <w:rsid w:val="005779F0"/>
    <w:rsid w:val="00581BE8"/>
    <w:rsid w:val="005A5E33"/>
    <w:rsid w:val="005B3AA6"/>
    <w:rsid w:val="005B517C"/>
    <w:rsid w:val="005D00A7"/>
    <w:rsid w:val="005D7BFD"/>
    <w:rsid w:val="005F2291"/>
    <w:rsid w:val="005F35D5"/>
    <w:rsid w:val="005F38DC"/>
    <w:rsid w:val="00604D34"/>
    <w:rsid w:val="00627EF4"/>
    <w:rsid w:val="006458FD"/>
    <w:rsid w:val="00651E5F"/>
    <w:rsid w:val="00675BA0"/>
    <w:rsid w:val="00692D7D"/>
    <w:rsid w:val="0069332A"/>
    <w:rsid w:val="006D01F0"/>
    <w:rsid w:val="006D10DA"/>
    <w:rsid w:val="006D58C4"/>
    <w:rsid w:val="006E3E87"/>
    <w:rsid w:val="00700B44"/>
    <w:rsid w:val="00701F39"/>
    <w:rsid w:val="00710E0F"/>
    <w:rsid w:val="007110BC"/>
    <w:rsid w:val="0071561B"/>
    <w:rsid w:val="00723065"/>
    <w:rsid w:val="00725F77"/>
    <w:rsid w:val="007313E7"/>
    <w:rsid w:val="00731CE7"/>
    <w:rsid w:val="00746CB8"/>
    <w:rsid w:val="00747B0C"/>
    <w:rsid w:val="007529AF"/>
    <w:rsid w:val="00764031"/>
    <w:rsid w:val="0076488A"/>
    <w:rsid w:val="0077416B"/>
    <w:rsid w:val="00787234"/>
    <w:rsid w:val="007877CF"/>
    <w:rsid w:val="00790FDB"/>
    <w:rsid w:val="0079351D"/>
    <w:rsid w:val="00794E78"/>
    <w:rsid w:val="0079793A"/>
    <w:rsid w:val="007A0DE1"/>
    <w:rsid w:val="007A7356"/>
    <w:rsid w:val="007B3539"/>
    <w:rsid w:val="007D6445"/>
    <w:rsid w:val="008067C3"/>
    <w:rsid w:val="008172A0"/>
    <w:rsid w:val="00834D10"/>
    <w:rsid w:val="00847758"/>
    <w:rsid w:val="00847E44"/>
    <w:rsid w:val="0086438A"/>
    <w:rsid w:val="008647E0"/>
    <w:rsid w:val="008730A4"/>
    <w:rsid w:val="00882EDC"/>
    <w:rsid w:val="00883A09"/>
    <w:rsid w:val="00893971"/>
    <w:rsid w:val="00897B0A"/>
    <w:rsid w:val="008B3115"/>
    <w:rsid w:val="008B5C88"/>
    <w:rsid w:val="008B60E2"/>
    <w:rsid w:val="008C25CD"/>
    <w:rsid w:val="008D1051"/>
    <w:rsid w:val="008D21EC"/>
    <w:rsid w:val="008F0E77"/>
    <w:rsid w:val="008F7275"/>
    <w:rsid w:val="008F794B"/>
    <w:rsid w:val="00914193"/>
    <w:rsid w:val="009203F5"/>
    <w:rsid w:val="00926E0C"/>
    <w:rsid w:val="0093319F"/>
    <w:rsid w:val="00941923"/>
    <w:rsid w:val="0096664B"/>
    <w:rsid w:val="00967E59"/>
    <w:rsid w:val="00984E74"/>
    <w:rsid w:val="00985908"/>
    <w:rsid w:val="009A3B68"/>
    <w:rsid w:val="009A4D1A"/>
    <w:rsid w:val="009B52BA"/>
    <w:rsid w:val="009E019F"/>
    <w:rsid w:val="009E2FD0"/>
    <w:rsid w:val="009E7325"/>
    <w:rsid w:val="009E7CBE"/>
    <w:rsid w:val="009F748A"/>
    <w:rsid w:val="00A068F7"/>
    <w:rsid w:val="00A1272B"/>
    <w:rsid w:val="00A24FD3"/>
    <w:rsid w:val="00A31A5F"/>
    <w:rsid w:val="00A33F83"/>
    <w:rsid w:val="00A36427"/>
    <w:rsid w:val="00A36AAC"/>
    <w:rsid w:val="00A50EC3"/>
    <w:rsid w:val="00A51BE8"/>
    <w:rsid w:val="00A573F4"/>
    <w:rsid w:val="00A60565"/>
    <w:rsid w:val="00A6489D"/>
    <w:rsid w:val="00A65012"/>
    <w:rsid w:val="00A67945"/>
    <w:rsid w:val="00A732CB"/>
    <w:rsid w:val="00A755F5"/>
    <w:rsid w:val="00A76018"/>
    <w:rsid w:val="00A844AE"/>
    <w:rsid w:val="00A8514A"/>
    <w:rsid w:val="00A85794"/>
    <w:rsid w:val="00A859AB"/>
    <w:rsid w:val="00A95ECD"/>
    <w:rsid w:val="00AA45E6"/>
    <w:rsid w:val="00AB56A5"/>
    <w:rsid w:val="00AF3B6D"/>
    <w:rsid w:val="00B02F06"/>
    <w:rsid w:val="00B055C7"/>
    <w:rsid w:val="00B13ED9"/>
    <w:rsid w:val="00B1593B"/>
    <w:rsid w:val="00B60D66"/>
    <w:rsid w:val="00B84530"/>
    <w:rsid w:val="00BA1C78"/>
    <w:rsid w:val="00BB4742"/>
    <w:rsid w:val="00BC14C2"/>
    <w:rsid w:val="00BC61B7"/>
    <w:rsid w:val="00BC7C3F"/>
    <w:rsid w:val="00BC7F3A"/>
    <w:rsid w:val="00BD2B69"/>
    <w:rsid w:val="00BF7049"/>
    <w:rsid w:val="00C322BA"/>
    <w:rsid w:val="00C37130"/>
    <w:rsid w:val="00C3781E"/>
    <w:rsid w:val="00C44CF7"/>
    <w:rsid w:val="00C8505D"/>
    <w:rsid w:val="00C93DD6"/>
    <w:rsid w:val="00CA792F"/>
    <w:rsid w:val="00CC760D"/>
    <w:rsid w:val="00CD24A0"/>
    <w:rsid w:val="00CE08B0"/>
    <w:rsid w:val="00CE739E"/>
    <w:rsid w:val="00CF1426"/>
    <w:rsid w:val="00D03111"/>
    <w:rsid w:val="00D115E2"/>
    <w:rsid w:val="00D1711E"/>
    <w:rsid w:val="00D407E6"/>
    <w:rsid w:val="00D50AD3"/>
    <w:rsid w:val="00D525D3"/>
    <w:rsid w:val="00D84EF8"/>
    <w:rsid w:val="00DB3256"/>
    <w:rsid w:val="00DB57F2"/>
    <w:rsid w:val="00DC72FB"/>
    <w:rsid w:val="00DF3663"/>
    <w:rsid w:val="00DF49AC"/>
    <w:rsid w:val="00DF7BC1"/>
    <w:rsid w:val="00E06F62"/>
    <w:rsid w:val="00E1394F"/>
    <w:rsid w:val="00E14EF0"/>
    <w:rsid w:val="00E1510E"/>
    <w:rsid w:val="00E17E7E"/>
    <w:rsid w:val="00E2359D"/>
    <w:rsid w:val="00E278E5"/>
    <w:rsid w:val="00E35F14"/>
    <w:rsid w:val="00E67D4B"/>
    <w:rsid w:val="00E86FC3"/>
    <w:rsid w:val="00E968BE"/>
    <w:rsid w:val="00E973EC"/>
    <w:rsid w:val="00E97815"/>
    <w:rsid w:val="00EA3B33"/>
    <w:rsid w:val="00EB1C01"/>
    <w:rsid w:val="00F05B48"/>
    <w:rsid w:val="00F106B2"/>
    <w:rsid w:val="00F455D2"/>
    <w:rsid w:val="00F6747F"/>
    <w:rsid w:val="00F766F0"/>
    <w:rsid w:val="00F809DA"/>
    <w:rsid w:val="00FA289E"/>
    <w:rsid w:val="00FA3BCF"/>
    <w:rsid w:val="00FA4CD2"/>
    <w:rsid w:val="00FA71B0"/>
    <w:rsid w:val="00FC4E2D"/>
    <w:rsid w:val="00FD65A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685E"/>
  <w14:defaultImageDpi w14:val="0"/>
  <w15:docId w15:val="{C4CA81FE-AFFB-4B1D-935B-CE6D0CE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B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30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30FF"/>
    <w:rPr>
      <w:rFonts w:cs="Times New Roman"/>
    </w:rPr>
  </w:style>
  <w:style w:type="paragraph" w:customStyle="1" w:styleId="Standard">
    <w:name w:val="Standard"/>
    <w:rsid w:val="00B845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DF7BC1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F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BC1"/>
    <w:rPr>
      <w:rFonts w:ascii="Times New Roman" w:hAnsi="Times New Roman"/>
    </w:rPr>
  </w:style>
  <w:style w:type="paragraph" w:customStyle="1" w:styleId="Bezformatowania">
    <w:name w:val="Bez formatowania"/>
    <w:rsid w:val="00DF7BC1"/>
    <w:rPr>
      <w:rFonts w:ascii="Helvetica" w:eastAsia="Arial Unicode MS" w:hAnsi="Arial Unicode MS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qFormat/>
    <w:rsid w:val="00914193"/>
    <w:pPr>
      <w:suppressAutoHyphens/>
      <w:spacing w:before="80" w:after="120" w:line="360" w:lineRule="auto"/>
      <w:ind w:left="567"/>
      <w:jc w:val="both"/>
    </w:pPr>
    <w:rPr>
      <w:rFonts w:ascii="Georgia" w:hAnsi="Georgia" w:cs="Georgia"/>
      <w:b/>
      <w:i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14193"/>
    <w:rPr>
      <w:rFonts w:ascii="Georgia" w:hAnsi="Georgia" w:cs="Georgia"/>
      <w:b/>
      <w:i/>
      <w:sz w:val="24"/>
      <w:lang w:eastAsia="zh-CN"/>
    </w:rPr>
  </w:style>
  <w:style w:type="character" w:customStyle="1" w:styleId="Stylwiadomocie-mail18">
    <w:name w:val="Styl wiadomości e-mail 18"/>
    <w:uiPriority w:val="99"/>
    <w:semiHidden/>
    <w:rsid w:val="003745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766F0"/>
    <w:pPr>
      <w:ind w:left="720"/>
      <w:contextualSpacing/>
    </w:pPr>
  </w:style>
  <w:style w:type="paragraph" w:customStyle="1" w:styleId="Zawartotabeli">
    <w:name w:val="Zawartość tabeli"/>
    <w:basedOn w:val="Normalny"/>
    <w:rsid w:val="00A755F5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4324</Words>
  <Characters>27152</Characters>
  <Application>Microsoft Office Word</Application>
  <DocSecurity>0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Balcerak</dc:creator>
  <cp:keywords/>
  <dc:description/>
  <cp:lastModifiedBy>Joanna Balcerak</cp:lastModifiedBy>
  <cp:revision>5</cp:revision>
  <dcterms:created xsi:type="dcterms:W3CDTF">2021-12-16T12:18:00Z</dcterms:created>
  <dcterms:modified xsi:type="dcterms:W3CDTF">2021-12-17T12:22:00Z</dcterms:modified>
</cp:coreProperties>
</file>